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September 30, 2026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val="false"/>
          <w:color w:val="000000"/>
          <w:sz w:val="20"/>
        </w:rPr>
        <w:t xml:space="preserve">For the transition period from </w:t>
      </w:r>
      <w:r>
        <w:rPr>
          <w:color w:val="000000"/>
          <w:u w:val="single"/>
        </w:rPr>
        <w:t>            </w:t>
      </w:r>
      <w:r>
        <w:rPr>
          <w:color w:val="000000"/>
        </w:rPr>
        <w:t xml:space="preserve"> </w:t>
      </w:r>
      <w:r>
        <w:rPr>
          <w:rFonts w:ascii="Times New Roman;serif" w:hAnsi="Times New Roman;serif"/>
          <w:b w:val="false"/>
          <w:color w:val="000000"/>
          <w:sz w:val="20"/>
        </w:rPr>
        <w:t>to</w:t>
      </w:r>
      <w:r>
        <w:rPr>
          <w:color w:val="000000"/>
          <w:u w:val="single"/>
        </w:rPr>
        <w:t>            </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001-33998</w:t>
      </w:r>
    </w:p>
    <w:p>
      <w:pPr>
        <w:pStyle w:val="TextBody"/>
        <w:bidi w:val="0"/>
        <w:spacing w:lineRule="auto" w:line="288" w:before="60" w:after="60"/>
        <w:jc w:val="center"/>
        <w:rPr>
          <w:rFonts w:ascii="Times New Roman;serif" w:hAnsi="Times New Roman;serif"/>
          <w:b/>
          <w:color w:val="000000"/>
          <w:sz w:val="48"/>
        </w:rPr>
      </w:pPr>
      <w:r>
        <w:rPr>
          <w:rFonts w:ascii="Times New Roman;serif" w:hAnsi="Times New Roman;serif"/>
          <w:b/>
          <w:color w:val="000000"/>
          <w:sz w:val="48"/>
        </w:rPr>
        <w:t>Churchill Downs Incorporated</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8973" w:type="dxa"/>
        <w:jc w:val="center"/>
        <w:tblInd w:w="0" w:type="dxa"/>
        <w:tblLayout w:type="fixed"/>
        <w:tblCellMar>
          <w:top w:w="28" w:type="dxa"/>
          <w:left w:w="28" w:type="dxa"/>
          <w:bottom w:w="28" w:type="dxa"/>
          <w:right w:w="28" w:type="dxa"/>
        </w:tblCellMar>
      </w:tblPr>
      <w:tblGrid>
        <w:gridCol w:w="915"/>
        <w:gridCol w:w="802"/>
        <w:gridCol w:w="802"/>
        <w:gridCol w:w="802"/>
        <w:gridCol w:w="802"/>
        <w:gridCol w:w="839"/>
        <w:gridCol w:w="109"/>
        <w:gridCol w:w="109"/>
        <w:gridCol w:w="109"/>
        <w:gridCol w:w="109"/>
        <w:gridCol w:w="109"/>
        <w:gridCol w:w="109"/>
        <w:gridCol w:w="992"/>
        <w:gridCol w:w="992"/>
        <w:gridCol w:w="1001"/>
        <w:gridCol w:w="109"/>
        <w:gridCol w:w="109"/>
        <w:gridCol w:w="154"/>
      </w:tblGrid>
      <w:tr>
        <w:trPr/>
        <w:tc>
          <w:tcPr>
            <w:tcW w:w="91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Kentucky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61-0156015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600 North Hurstbourne Parkway, Suite 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Louisville,</w:t>
            </w:r>
          </w:p>
        </w:tc>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Kentucky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40222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(502) 636-4400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58" w:type="dxa"/>
        <w:jc w:val="left"/>
        <w:tblInd w:w="0" w:type="dxa"/>
        <w:tblLayout w:type="fixed"/>
        <w:tblCellMar>
          <w:top w:w="28" w:type="dxa"/>
          <w:left w:w="28" w:type="dxa"/>
          <w:bottom w:w="28" w:type="dxa"/>
          <w:right w:w="28" w:type="dxa"/>
        </w:tblCellMar>
      </w:tblPr>
      <w:tblGrid>
        <w:gridCol w:w="918"/>
        <w:gridCol w:w="803"/>
        <w:gridCol w:w="813"/>
        <w:gridCol w:w="539"/>
        <w:gridCol w:w="539"/>
        <w:gridCol w:w="541"/>
        <w:gridCol w:w="1085"/>
        <w:gridCol w:w="1085"/>
        <w:gridCol w:w="1535"/>
      </w:tblGrid>
      <w:tr>
        <w:trPr/>
        <w:tc>
          <w:tcPr>
            <w:tcW w:w="9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53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CHDN</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 LLC</w:t>
            </w:r>
          </w:p>
        </w:tc>
      </w:tr>
    </w:tbl>
    <w:p>
      <w:pPr>
        <w:pStyle w:val="TextBody"/>
        <w:bidi w:val="0"/>
        <w:spacing w:lineRule="auto" w:line="288" w:before="18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 xml:space="preserve">☐ </w:t>
      </w:r>
    </w:p>
    <w:p>
      <w:pPr>
        <w:pStyle w:val="TextBody"/>
        <w:bidi w:val="0"/>
        <w:spacing w:lineRule="auto" w:line="288" w:before="18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18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8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12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 xml:space="preserve">☒ </w:t>
      </w:r>
    </w:p>
    <w:p>
      <w:pPr>
        <w:pStyle w:val="TextBody"/>
        <w:bidi w:val="0"/>
        <w:spacing w:lineRule="auto" w:line="300" w:before="60" w:after="60"/>
        <w:jc w:val="left"/>
        <w:rPr>
          <w:rFonts w:ascii="Times New Roman;serif" w:hAnsi="Times New Roman;serif"/>
          <w:b w:val="false"/>
          <w:color w:val="000000"/>
          <w:sz w:val="18"/>
        </w:rPr>
      </w:pPr>
      <w:r>
        <w:rPr>
          <w:rFonts w:ascii="Times New Roman;serif" w:hAnsi="Times New Roman;serif"/>
          <w:b w:val="false"/>
          <w:color w:val="000000"/>
          <w:sz w:val="18"/>
        </w:rPr>
        <w:t xml:space="preserve">The number of shares outstanding of registrant’s common stock at October 21, 2026 was 68,548,342 shares.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CHURCHILL DOWNS INCORPORATED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September 30, 2026</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2"/>
        <w:gridCol w:w="239"/>
        <w:gridCol w:w="240"/>
        <w:gridCol w:w="3025"/>
        <w:gridCol w:w="3025"/>
        <w:gridCol w:w="3030"/>
        <w:gridCol w:w="109"/>
        <w:gridCol w:w="109"/>
        <w:gridCol w:w="156"/>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0">
              <w:r>
                <w:rPr>
                  <w:rStyle w:val="InternetLink"/>
                  <w:rFonts w:ascii="Times New Roman;serif" w:hAnsi="Times New Roman;serif"/>
                  <w:b/>
                  <w:color w:val="000000"/>
                  <w:sz w:val="20"/>
                  <w:u w:val="single"/>
                </w:rPr>
                <w:t>Part I-FINANCIAL INFORMATION</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3">
              <w:r>
                <w:rPr>
                  <w:rStyle w:val="InternetLink"/>
                  <w:rFonts w:ascii="Times New Roman;serif" w:hAnsi="Times New Roman;serif"/>
                  <w:b w:val="false"/>
                  <w:color w:val="000000"/>
                  <w:sz w:val="20"/>
                  <w:u w:val="single"/>
                </w:rPr>
                <w:t>Item 1.</w:t>
              </w:r>
            </w:hyperlink>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3">
              <w:r>
                <w:rPr>
                  <w:rStyle w:val="InternetLink"/>
                  <w:rFonts w:ascii="Times New Roman;serif" w:hAnsi="Times New Roman;serif"/>
                  <w:b w:val="false"/>
                  <w:color w:val="000000"/>
                  <w:sz w:val="20"/>
                  <w:u w:val="single"/>
                </w:rPr>
                <w:t>Financial Statements (Unaudited)</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6">
              <w:r>
                <w:rPr>
                  <w:rStyle w:val="InternetLink"/>
                  <w:rFonts w:ascii="Times New Roman;serif" w:hAnsi="Times New Roman;serif"/>
                  <w:b w:val="false"/>
                  <w:color w:val="000080"/>
                  <w:sz w:val="20"/>
                  <w:u w:val="single"/>
                </w:rPr>
                <w:t xml:space="preserve">Condensed Consolidated Statements of Comprehensive Income for the </w:t>
              </w:r>
            </w:hyperlink>
            <w:r>
              <w:rPr>
                <w:rFonts w:ascii="Times New Roman;serif" w:hAnsi="Times New Roman;serif"/>
                <w:b w:val="false"/>
                <w:color w:val="000000"/>
                <w:sz w:val="20"/>
                <w:u w:val="single"/>
              </w:rPr>
              <w:t>three and nine months ended</w:t>
            </w:r>
            <w:hyperlink w:anchor="i2db6d44d16f64fb7bc653cc20700a646_16">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00"/>
                <w:sz w:val="20"/>
                <w:u w:val="single"/>
              </w:rPr>
              <w:t>September 30, 2026</w:t>
            </w:r>
            <w:hyperlink w:anchor="i2db6d44d16f64fb7bc653cc20700a646_16">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00"/>
                <w:sz w:val="20"/>
                <w:u w:val="single"/>
              </w:rPr>
              <w:t>2025</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b6d44d16f64fb7bc653cc20700a646_16">
              <w:r>
                <w:rPr>
                  <w:rStyle w:val="InternetLink"/>
                  <w:rFonts w:ascii="Times New Roman;serif" w:hAnsi="Times New Roman;serif"/>
                  <w:b w:val="false"/>
                  <w:color w:val="000000"/>
                  <w:sz w:val="20"/>
                  <w:u w:val="single"/>
                </w:rPr>
                <w:t>3</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9">
              <w:r>
                <w:rPr>
                  <w:rStyle w:val="InternetLink"/>
                  <w:rFonts w:ascii="Times New Roman;serif" w:hAnsi="Times New Roman;serif"/>
                  <w:b w:val="false"/>
                  <w:color w:val="000080"/>
                  <w:sz w:val="20"/>
                  <w:u w:val="single"/>
                </w:rPr>
                <w:t xml:space="preserve">Condensed Consolidated Balance Sheets at </w:t>
              </w:r>
            </w:hyperlink>
            <w:r>
              <w:rPr>
                <w:rFonts w:ascii="Times New Roman;serif" w:hAnsi="Times New Roman;serif"/>
                <w:b w:val="false"/>
                <w:color w:val="000000"/>
                <w:sz w:val="20"/>
                <w:u w:val="single"/>
              </w:rPr>
              <w:t>September 30, 2026</w:t>
            </w:r>
            <w:hyperlink w:anchor="i2db6d44d16f64fb7bc653cc20700a646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00"/>
                <w:sz w:val="20"/>
                <w:u w:val="single"/>
              </w:rPr>
              <w:t>December 31, 2025</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b6d44d16f64fb7bc653cc20700a646_19">
              <w:r>
                <w:rPr>
                  <w:rStyle w:val="InternetLink"/>
                  <w:rFonts w:ascii="Times New Roman;serif" w:hAnsi="Times New Roman;serif"/>
                  <w:b w:val="false"/>
                  <w:color w:val="000000"/>
                  <w:sz w:val="20"/>
                  <w:u w:val="single"/>
                </w:rPr>
                <w:t>4</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22">
              <w:r>
                <w:rPr>
                  <w:rStyle w:val="InternetLink"/>
                  <w:rFonts w:ascii="Times New Roman;serif" w:hAnsi="Times New Roman;serif"/>
                  <w:b w:val="false"/>
                  <w:color w:val="000080"/>
                  <w:sz w:val="20"/>
                  <w:u w:val="single"/>
                </w:rPr>
                <w:t xml:space="preserve">Condensed Consolidated Statements of Shareholders' Equity for the </w:t>
              </w:r>
            </w:hyperlink>
            <w:r>
              <w:rPr>
                <w:rFonts w:ascii="Times New Roman;serif" w:hAnsi="Times New Roman;serif"/>
                <w:b w:val="false"/>
                <w:color w:val="000000"/>
                <w:sz w:val="20"/>
                <w:u w:val="single"/>
              </w:rPr>
              <w:t>three and nine months ended</w:t>
            </w:r>
            <w:hyperlink w:anchor="i2db6d44d16f64fb7bc653cc20700a646_22">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00"/>
                <w:sz w:val="20"/>
                <w:u w:val="single"/>
              </w:rPr>
              <w:t>September 30, 2026</w:t>
            </w:r>
            <w:hyperlink w:anchor="i2db6d44d16f64fb7bc653cc20700a646_22">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00"/>
                <w:sz w:val="20"/>
                <w:u w:val="single"/>
              </w:rPr>
              <w:t>2025</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b6d44d16f64fb7bc653cc20700a646_22">
              <w:r>
                <w:rPr>
                  <w:rStyle w:val="InternetLink"/>
                  <w:rFonts w:ascii="Times New Roman;serif" w:hAnsi="Times New Roman;serif"/>
                  <w:b w:val="false"/>
                  <w:color w:val="000000"/>
                  <w:sz w:val="20"/>
                  <w:u w:val="single"/>
                </w:rPr>
                <w:t>5</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25">
              <w:r>
                <w:rPr>
                  <w:rStyle w:val="InternetLink"/>
                  <w:rFonts w:ascii="Times New Roman;serif" w:hAnsi="Times New Roman;serif"/>
                  <w:b w:val="false"/>
                  <w:color w:val="000080"/>
                  <w:sz w:val="20"/>
                  <w:u w:val="single"/>
                </w:rPr>
                <w:t xml:space="preserve">Condensed Consolidated Statements of Cash Flows for the </w:t>
              </w:r>
            </w:hyperlink>
            <w:r>
              <w:rPr>
                <w:rFonts w:ascii="Times New Roman;serif" w:hAnsi="Times New Roman;serif"/>
                <w:b w:val="false"/>
                <w:color w:val="000000"/>
                <w:sz w:val="20"/>
                <w:u w:val="single"/>
              </w:rPr>
              <w:t>nine</w:t>
            </w:r>
            <w:hyperlink w:anchor="i2db6d44d16f64fb7bc653cc20700a646_25">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00"/>
                <w:sz w:val="20"/>
                <w:u w:val="single"/>
              </w:rPr>
              <w:t>September 30, 2026</w:t>
            </w:r>
            <w:hyperlink w:anchor="i2db6d44d16f64fb7bc653cc20700a646_25">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00"/>
                <w:sz w:val="20"/>
                <w:u w:val="single"/>
              </w:rPr>
              <w:t>2025</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b6d44d16f64fb7bc653cc20700a646_25">
              <w:r>
                <w:rPr>
                  <w:rStyle w:val="InternetLink"/>
                  <w:rFonts w:ascii="Times New Roman;serif" w:hAnsi="Times New Roman;serif"/>
                  <w:b w:val="false"/>
                  <w:color w:val="000000"/>
                  <w:sz w:val="20"/>
                  <w:u w:val="single"/>
                </w:rPr>
                <w:t>7</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31">
              <w:r>
                <w:rPr>
                  <w:rStyle w:val="InternetLink"/>
                  <w:rFonts w:ascii="Times New Roman;serif" w:hAnsi="Times New Roman;serif"/>
                  <w:b w:val="false"/>
                  <w:color w:val="000000"/>
                  <w:sz w:val="20"/>
                  <w:u w:val="single"/>
                </w:rPr>
                <w:t>Notes to Condensed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b6d44d16f64fb7bc653cc20700a646_31">
              <w:r>
                <w:rPr>
                  <w:rStyle w:val="InternetLink"/>
                  <w:rFonts w:ascii="Times New Roman;serif" w:hAnsi="Times New Roman;serif"/>
                  <w:b w:val="false"/>
                  <w:color w:val="000000"/>
                  <w:sz w:val="20"/>
                  <w:u w:val="single"/>
                </w:rPr>
                <w:t>9</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97">
              <w:r>
                <w:rPr>
                  <w:rStyle w:val="InternetLink"/>
                  <w:rFonts w:ascii="Times New Roman;serif" w:hAnsi="Times New Roman;serif"/>
                  <w:b w:val="false"/>
                  <w:color w:val="000000"/>
                  <w:sz w:val="20"/>
                  <w:u w:val="single"/>
                </w:rPr>
                <w:t>Item 2.</w:t>
              </w:r>
            </w:hyperlink>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97">
              <w:r>
                <w:rPr>
                  <w:rStyle w:val="InternetLink"/>
                  <w:rFonts w:ascii="Times New Roman;serif" w:hAnsi="Times New Roman;serif"/>
                  <w:b w:val="false"/>
                  <w:color w:val="000000"/>
                  <w:sz w:val="20"/>
                  <w:u w:val="single"/>
                </w:rPr>
                <w:t>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b6d44d16f64fb7bc653cc20700a646_97">
              <w:r>
                <w:rPr>
                  <w:rStyle w:val="InternetLink"/>
                  <w:rFonts w:ascii="Times New Roman;serif" w:hAnsi="Times New Roman;serif"/>
                  <w:b w:val="false"/>
                  <w:color w:val="000000"/>
                  <w:sz w:val="20"/>
                  <w:u w:val="single"/>
                </w:rPr>
                <w:t>29</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39">
              <w:r>
                <w:rPr>
                  <w:rStyle w:val="InternetLink"/>
                  <w:rFonts w:ascii="Times New Roman;serif" w:hAnsi="Times New Roman;serif"/>
                  <w:b w:val="false"/>
                  <w:color w:val="000000"/>
                  <w:sz w:val="20"/>
                  <w:u w:val="single"/>
                </w:rPr>
                <w:t>Item 3.</w:t>
              </w:r>
            </w:hyperlink>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39">
              <w:r>
                <w:rPr>
                  <w:rStyle w:val="InternetLink"/>
                  <w:rFonts w:ascii="Times New Roman;serif" w:hAnsi="Times New Roman;serif"/>
                  <w:b w:val="false"/>
                  <w:color w:val="000000"/>
                  <w:sz w:val="20"/>
                  <w:u w:val="single"/>
                </w:rPr>
                <w:t>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b6d44d16f64fb7bc653cc20700a646_139">
              <w:r>
                <w:rPr>
                  <w:rStyle w:val="InternetLink"/>
                  <w:rFonts w:ascii="Times New Roman;serif" w:hAnsi="Times New Roman;serif"/>
                  <w:b w:val="false"/>
                  <w:color w:val="000000"/>
                  <w:sz w:val="20"/>
                  <w:u w:val="single"/>
                </w:rPr>
                <w:t>40</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42">
              <w:r>
                <w:rPr>
                  <w:rStyle w:val="InternetLink"/>
                  <w:rFonts w:ascii="Times New Roman;serif" w:hAnsi="Times New Roman;serif"/>
                  <w:b w:val="false"/>
                  <w:color w:val="000000"/>
                  <w:sz w:val="20"/>
                  <w:u w:val="single"/>
                </w:rPr>
                <w:t>Item 4.</w:t>
              </w:r>
            </w:hyperlink>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42">
              <w:r>
                <w:rPr>
                  <w:rStyle w:val="InternetLink"/>
                  <w:rFonts w:ascii="Times New Roman;serif" w:hAnsi="Times New Roman;serif"/>
                  <w:b w:val="false"/>
                  <w:color w:val="000000"/>
                  <w:sz w:val="20"/>
                  <w:u w:val="single"/>
                </w:rPr>
                <w:t>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b6d44d16f64fb7bc653cc20700a646_142">
              <w:r>
                <w:rPr>
                  <w:rStyle w:val="InternetLink"/>
                  <w:rFonts w:ascii="Times New Roman;serif" w:hAnsi="Times New Roman;serif"/>
                  <w:b w:val="false"/>
                  <w:color w:val="000000"/>
                  <w:sz w:val="20"/>
                  <w:u w:val="single"/>
                </w:rPr>
                <w:t>40</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45">
              <w:r>
                <w:rPr>
                  <w:rStyle w:val="InternetLink"/>
                  <w:rFonts w:ascii="Times New Roman;serif" w:hAnsi="Times New Roman;serif"/>
                  <w:b/>
                  <w:color w:val="000000"/>
                  <w:sz w:val="20"/>
                  <w:u w:val="single"/>
                </w:rPr>
                <w:t>Part II-OTHER INFORMATION</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48">
              <w:r>
                <w:rPr>
                  <w:rStyle w:val="InternetLink"/>
                  <w:rFonts w:ascii="Times New Roman;serif" w:hAnsi="Times New Roman;serif"/>
                  <w:b w:val="false"/>
                  <w:color w:val="000000"/>
                  <w:sz w:val="20"/>
                  <w:u w:val="single"/>
                </w:rPr>
                <w:t>Item 1.</w:t>
              </w:r>
            </w:hyperlink>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48">
              <w:r>
                <w:rPr>
                  <w:rStyle w:val="InternetLink"/>
                  <w:rFonts w:ascii="Times New Roman;serif" w:hAnsi="Times New Roman;serif"/>
                  <w:b w:val="false"/>
                  <w:color w:val="000000"/>
                  <w:sz w:val="20"/>
                  <w:u w:val="single"/>
                </w:rPr>
                <w:t>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b6d44d16f64fb7bc653cc20700a646_148">
              <w:r>
                <w:rPr>
                  <w:rStyle w:val="InternetLink"/>
                  <w:rFonts w:ascii="Times New Roman;serif" w:hAnsi="Times New Roman;serif"/>
                  <w:b w:val="false"/>
                  <w:color w:val="000000"/>
                  <w:sz w:val="20"/>
                  <w:u w:val="single"/>
                </w:rPr>
                <w:t>41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51">
              <w:r>
                <w:rPr>
                  <w:rStyle w:val="InternetLink"/>
                  <w:rFonts w:ascii="Times New Roman;serif" w:hAnsi="Times New Roman;serif"/>
                  <w:b w:val="false"/>
                  <w:color w:val="000000"/>
                  <w:sz w:val="20"/>
                  <w:u w:val="single"/>
                </w:rPr>
                <w:t>Item 1A.</w:t>
              </w:r>
            </w:hyperlink>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51">
              <w:r>
                <w:rPr>
                  <w:rStyle w:val="InternetLink"/>
                  <w:rFonts w:ascii="Times New Roman;serif" w:hAnsi="Times New Roman;serif"/>
                  <w:b w:val="false"/>
                  <w:color w:val="000000"/>
                  <w:sz w:val="20"/>
                  <w:u w:val="single"/>
                </w:rPr>
                <w:t>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b6d44d16f64fb7bc653cc20700a646_151">
              <w:r>
                <w:rPr>
                  <w:rStyle w:val="InternetLink"/>
                  <w:rFonts w:ascii="Times New Roman;serif" w:hAnsi="Times New Roman;serif"/>
                  <w:b w:val="false"/>
                  <w:color w:val="000000"/>
                  <w:sz w:val="20"/>
                  <w:u w:val="single"/>
                </w:rPr>
                <w:t>41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54">
              <w:r>
                <w:rPr>
                  <w:rStyle w:val="InternetLink"/>
                  <w:rFonts w:ascii="Times New Roman;serif" w:hAnsi="Times New Roman;serif"/>
                  <w:b w:val="false"/>
                  <w:color w:val="000000"/>
                  <w:sz w:val="20"/>
                  <w:u w:val="single"/>
                </w:rPr>
                <w:t>Item 2.</w:t>
              </w:r>
            </w:hyperlink>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54">
              <w:r>
                <w:rPr>
                  <w:rStyle w:val="InternetLink"/>
                  <w:rFonts w:ascii="Times New Roman;serif" w:hAnsi="Times New Roman;serif"/>
                  <w:b w:val="false"/>
                  <w:color w:val="000000"/>
                  <w:sz w:val="20"/>
                  <w:u w:val="single"/>
                </w:rPr>
                <w:t>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b6d44d16f64fb7bc653cc20700a646_154">
              <w:r>
                <w:rPr>
                  <w:rStyle w:val="InternetLink"/>
                  <w:rFonts w:ascii="Times New Roman;serif" w:hAnsi="Times New Roman;serif"/>
                  <w:b w:val="false"/>
                  <w:color w:val="000000"/>
                  <w:sz w:val="20"/>
                  <w:u w:val="single"/>
                </w:rPr>
                <w:t>41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57">
              <w:r>
                <w:rPr>
                  <w:rStyle w:val="InternetLink"/>
                  <w:rFonts w:ascii="Times New Roman;serif" w:hAnsi="Times New Roman;serif"/>
                  <w:b w:val="false"/>
                  <w:color w:val="000000"/>
                  <w:sz w:val="20"/>
                  <w:u w:val="single"/>
                </w:rPr>
                <w:t>Item 3.</w:t>
              </w:r>
            </w:hyperlink>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57">
              <w:r>
                <w:rPr>
                  <w:rStyle w:val="InternetLink"/>
                  <w:rFonts w:ascii="Times New Roman;serif" w:hAnsi="Times New Roman;serif"/>
                  <w:b w:val="false"/>
                  <w:color w:val="000000"/>
                  <w:sz w:val="20"/>
                  <w:u w:val="single"/>
                </w:rPr>
                <w:t>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b6d44d16f64fb7bc653cc20700a646_157">
              <w:r>
                <w:rPr>
                  <w:rStyle w:val="InternetLink"/>
                  <w:rFonts w:ascii="Times New Roman;serif" w:hAnsi="Times New Roman;serif"/>
                  <w:b w:val="false"/>
                  <w:color w:val="000000"/>
                  <w:sz w:val="20"/>
                  <w:u w:val="single"/>
                </w:rPr>
                <w:t>41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60">
              <w:r>
                <w:rPr>
                  <w:rStyle w:val="InternetLink"/>
                  <w:rFonts w:ascii="Times New Roman;serif" w:hAnsi="Times New Roman;serif"/>
                  <w:b w:val="false"/>
                  <w:color w:val="000000"/>
                  <w:sz w:val="20"/>
                  <w:u w:val="single"/>
                </w:rPr>
                <w:t>Item 4.</w:t>
              </w:r>
            </w:hyperlink>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60">
              <w:r>
                <w:rPr>
                  <w:rStyle w:val="InternetLink"/>
                  <w:rFonts w:ascii="Times New Roman;serif" w:hAnsi="Times New Roman;serif"/>
                  <w:b w:val="false"/>
                  <w:color w:val="000000"/>
                  <w:sz w:val="20"/>
                  <w:u w:val="single"/>
                </w:rPr>
                <w:t>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b6d44d16f64fb7bc653cc20700a646_160">
              <w:r>
                <w:rPr>
                  <w:rStyle w:val="InternetLink"/>
                  <w:rFonts w:ascii="Times New Roman;serif" w:hAnsi="Times New Roman;serif"/>
                  <w:b w:val="false"/>
                  <w:color w:val="000000"/>
                  <w:sz w:val="20"/>
                  <w:u w:val="single"/>
                </w:rPr>
                <w:t>41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63">
              <w:r>
                <w:rPr>
                  <w:rStyle w:val="InternetLink"/>
                  <w:rFonts w:ascii="Times New Roman;serif" w:hAnsi="Times New Roman;serif"/>
                  <w:b w:val="false"/>
                  <w:color w:val="000000"/>
                  <w:sz w:val="20"/>
                  <w:u w:val="single"/>
                </w:rPr>
                <w:t>Item 5.</w:t>
              </w:r>
            </w:hyperlink>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63">
              <w:r>
                <w:rPr>
                  <w:rStyle w:val="InternetLink"/>
                  <w:rFonts w:ascii="Times New Roman;serif" w:hAnsi="Times New Roman;serif"/>
                  <w:b w:val="false"/>
                  <w:color w:val="000000"/>
                  <w:sz w:val="20"/>
                  <w:u w:val="single"/>
                </w:rPr>
                <w:t>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b6d44d16f64fb7bc653cc20700a646_163">
              <w:r>
                <w:rPr>
                  <w:rStyle w:val="InternetLink"/>
                  <w:rFonts w:ascii="Times New Roman;serif" w:hAnsi="Times New Roman;serif"/>
                  <w:b w:val="false"/>
                  <w:color w:val="000000"/>
                  <w:sz w:val="20"/>
                  <w:u w:val="single"/>
                </w:rPr>
                <w:t>41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66">
              <w:r>
                <w:rPr>
                  <w:rStyle w:val="InternetLink"/>
                  <w:rFonts w:ascii="Times New Roman;serif" w:hAnsi="Times New Roman;serif"/>
                  <w:b w:val="false"/>
                  <w:color w:val="000000"/>
                  <w:sz w:val="20"/>
                  <w:u w:val="single"/>
                </w:rPr>
                <w:t>Item 6.</w:t>
              </w:r>
            </w:hyperlink>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66">
              <w:r>
                <w:rPr>
                  <w:rStyle w:val="InternetLink"/>
                  <w:rFonts w:ascii="Times New Roman;serif" w:hAnsi="Times New Roman;serif"/>
                  <w:b w:val="false"/>
                  <w:color w:val="000000"/>
                  <w:sz w:val="20"/>
                  <w:u w:val="single"/>
                </w:rPr>
                <w:t>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b6d44d16f64fb7bc653cc20700a646_166">
              <w:r>
                <w:rPr>
                  <w:rStyle w:val="InternetLink"/>
                  <w:rFonts w:ascii="Times New Roman;serif" w:hAnsi="Times New Roman;serif"/>
                  <w:b w:val="false"/>
                  <w:color w:val="000000"/>
                  <w:sz w:val="20"/>
                  <w:u w:val="single"/>
                </w:rPr>
                <w:t>42</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b6d44d16f64fb7bc653cc20700a646_169">
              <w:r>
                <w:rPr>
                  <w:rStyle w:val="InternetLink"/>
                  <w:rFonts w:ascii="Times New Roman;serif" w:hAnsi="Times New Roman;serif"/>
                  <w:b w:val="false"/>
                  <w:color w:val="000000"/>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b6d44d16f64fb7bc653cc20700a646_169">
              <w:r>
                <w:rPr>
                  <w:rStyle w:val="InternetLink"/>
                  <w:rFonts w:ascii="Times New Roman;serif" w:hAnsi="Times New Roman;serif"/>
                  <w:b w:val="false"/>
                  <w:color w:val="000000"/>
                  <w:sz w:val="20"/>
                  <w:u w:val="single"/>
                </w:rPr>
                <w:t>43</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147445"/>
                <wp:effectExtent l="0" t="0" r="0" b="0"/>
                <wp:wrapNone/>
                <wp:docPr id="2" name="Frame2"/>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ind w:left="0" w:right="0" w:hanging="108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CHURCHILL DOWNS INCORPORATED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74"/>
        <w:gridCol w:w="1470"/>
        <w:gridCol w:w="1477"/>
        <w:gridCol w:w="261"/>
        <w:gridCol w:w="623"/>
        <w:gridCol w:w="145"/>
        <w:gridCol w:w="145"/>
        <w:gridCol w:w="145"/>
        <w:gridCol w:w="145"/>
        <w:gridCol w:w="261"/>
        <w:gridCol w:w="623"/>
        <w:gridCol w:w="145"/>
        <w:gridCol w:w="109"/>
        <w:gridCol w:w="109"/>
        <w:gridCol w:w="109"/>
        <w:gridCol w:w="239"/>
        <w:gridCol w:w="679"/>
        <w:gridCol w:w="133"/>
        <w:gridCol w:w="133"/>
        <w:gridCol w:w="133"/>
        <w:gridCol w:w="133"/>
        <w:gridCol w:w="239"/>
        <w:gridCol w:w="679"/>
        <w:gridCol w:w="196"/>
      </w:tblGrid>
      <w:tr>
        <w:trPr/>
        <w:tc>
          <w:tcPr>
            <w:tcW w:w="187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common share data)</w:t>
            </w:r>
          </w:p>
        </w:tc>
        <w:tc>
          <w:tcPr>
            <w:tcW w:w="1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w:t>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Live and Historical Racing</w:t>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Wagering Services and Solutions</w:t>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net revenue</w:t>
            </w:r>
          </w:p>
        </w:tc>
        <w:tc>
          <w:tcPr>
            <w:tcW w:w="8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Live and Historical Racing</w:t>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Wagering Services and Solutions</w:t>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impairments, net</w:t>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expense, net</w:t>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w:t>
            </w:r>
          </w:p>
        </w:tc>
        <w:tc>
          <w:tcPr>
            <w:tcW w:w="8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8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 income:</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income of unconsolidated affiliates</w:t>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Miscellaneous, net</w:t>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(expense) income</w:t>
            </w:r>
          </w:p>
        </w:tc>
        <w:tc>
          <w:tcPr>
            <w:tcW w:w="8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 before provision for income taxes</w:t>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Churchill Downs Incorporated</w:t>
            </w:r>
          </w:p>
        </w:tc>
        <w:tc>
          <w:tcPr>
            <w:tcW w:w="2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income attributable to Churchill Downs Incorporated per common share data:</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w:t>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w:t>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47445"/>
                <wp:effectExtent l="0" t="0" r="0" b="0"/>
                <wp:wrapNone/>
                <wp:docPr id="3" name="Frame3"/>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CHURCHILL DOWNS INCORPORATED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339" w:type="dxa"/>
        <w:jc w:val="center"/>
        <w:tblInd w:w="0" w:type="dxa"/>
        <w:tblLayout w:type="fixed"/>
        <w:tblCellMar>
          <w:top w:w="28" w:type="dxa"/>
          <w:left w:w="28" w:type="dxa"/>
          <w:bottom w:w="28" w:type="dxa"/>
          <w:right w:w="28" w:type="dxa"/>
        </w:tblCellMar>
      </w:tblPr>
      <w:tblGrid>
        <w:gridCol w:w="1980"/>
        <w:gridCol w:w="1737"/>
        <w:gridCol w:w="1757"/>
        <w:gridCol w:w="397"/>
        <w:gridCol w:w="1165"/>
        <w:gridCol w:w="207"/>
        <w:gridCol w:w="109"/>
        <w:gridCol w:w="109"/>
        <w:gridCol w:w="109"/>
        <w:gridCol w:w="380"/>
        <w:gridCol w:w="1110"/>
        <w:gridCol w:w="279"/>
      </w:tblGrid>
      <w:tr>
        <w:trPr/>
        <w:tc>
          <w:tcPr>
            <w:tcW w:w="1980"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5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2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Investment in and advances to unconsolidated affiliates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7,467 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2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Current deferred revenue</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 and notes payable</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5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2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maturities and loan origination fees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Notes payable, net of current maturities and debt issuance costs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revenue</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5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6,429 </w:t>
            </w:r>
          </w:p>
        </w:tc>
        <w:tc>
          <w:tcPr>
            <w:tcW w:w="2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Churchill Downs Incorporated shareholders' equity</w:t>
            </w:r>
          </w:p>
        </w:tc>
        <w:tc>
          <w:tcPr>
            <w:tcW w:w="15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2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397"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7,467 </w:t>
            </w:r>
          </w:p>
        </w:tc>
        <w:tc>
          <w:tcPr>
            <w:tcW w:w="20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27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24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47445"/>
                <wp:effectExtent l="0" t="0" r="0" b="0"/>
                <wp:wrapNone/>
                <wp:docPr id="4" name="Frame4"/>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CHURCHILL DOWNS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41"/>
        <w:gridCol w:w="568"/>
        <w:gridCol w:w="573"/>
        <w:gridCol w:w="210"/>
        <w:gridCol w:w="210"/>
        <w:gridCol w:w="211"/>
        <w:gridCol w:w="109"/>
        <w:gridCol w:w="109"/>
        <w:gridCol w:w="109"/>
        <w:gridCol w:w="207"/>
        <w:gridCol w:w="428"/>
        <w:gridCol w:w="116"/>
        <w:gridCol w:w="109"/>
        <w:gridCol w:w="109"/>
        <w:gridCol w:w="109"/>
        <w:gridCol w:w="196"/>
        <w:gridCol w:w="556"/>
        <w:gridCol w:w="109"/>
        <w:gridCol w:w="109"/>
        <w:gridCol w:w="109"/>
        <w:gridCol w:w="109"/>
        <w:gridCol w:w="676"/>
        <w:gridCol w:w="882"/>
        <w:gridCol w:w="378"/>
        <w:gridCol w:w="109"/>
        <w:gridCol w:w="109"/>
        <w:gridCol w:w="109"/>
        <w:gridCol w:w="109"/>
        <w:gridCol w:w="109"/>
        <w:gridCol w:w="109"/>
        <w:gridCol w:w="109"/>
        <w:gridCol w:w="109"/>
        <w:gridCol w:w="109"/>
        <w:gridCol w:w="109"/>
        <w:gridCol w:w="109"/>
        <w:gridCol w:w="109"/>
        <w:gridCol w:w="109"/>
        <w:gridCol w:w="333"/>
        <w:gridCol w:w="946"/>
        <w:gridCol w:w="267"/>
      </w:tblGrid>
      <w:tr>
        <w:trPr/>
        <w:tc>
          <w:tcPr>
            <w:tcW w:w="94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Shareholders' Equity</w:t>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5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2025</w:t>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2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Churchill Downs Incorporated</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stock awards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2026</w:t>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2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Churchill Downs Incorporated</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2026</w:t>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2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Churchill Downs Incorporated</w:t>
            </w:r>
          </w:p>
        </w:tc>
        <w:tc>
          <w:tcPr>
            <w:tcW w:w="6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67"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September 30, 2026</w:t>
            </w:r>
          </w:p>
        </w:tc>
        <w:tc>
          <w:tcPr>
            <w:tcW w:w="631"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7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1,379 </w:t>
            </w:r>
          </w:p>
        </w:tc>
        <w:tc>
          <w:tcPr>
            <w:tcW w:w="2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47445"/>
                <wp:effectExtent l="0" t="0" r="0" b="0"/>
                <wp:wrapNone/>
                <wp:docPr id="5" name="Frame5"/>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CHURCHILL DOWNS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031"/>
        <w:gridCol w:w="688"/>
        <w:gridCol w:w="695"/>
        <w:gridCol w:w="210"/>
        <w:gridCol w:w="210"/>
        <w:gridCol w:w="211"/>
        <w:gridCol w:w="109"/>
        <w:gridCol w:w="109"/>
        <w:gridCol w:w="109"/>
        <w:gridCol w:w="207"/>
        <w:gridCol w:w="428"/>
        <w:gridCol w:w="116"/>
        <w:gridCol w:w="109"/>
        <w:gridCol w:w="109"/>
        <w:gridCol w:w="109"/>
        <w:gridCol w:w="196"/>
        <w:gridCol w:w="556"/>
        <w:gridCol w:w="109"/>
        <w:gridCol w:w="109"/>
        <w:gridCol w:w="109"/>
        <w:gridCol w:w="109"/>
        <w:gridCol w:w="750"/>
        <w:gridCol w:w="979"/>
        <w:gridCol w:w="419"/>
        <w:gridCol w:w="109"/>
        <w:gridCol w:w="109"/>
        <w:gridCol w:w="109"/>
        <w:gridCol w:w="109"/>
        <w:gridCol w:w="109"/>
        <w:gridCol w:w="109"/>
        <w:gridCol w:w="109"/>
        <w:gridCol w:w="357"/>
        <w:gridCol w:w="1014"/>
        <w:gridCol w:w="285"/>
      </w:tblGrid>
      <w:tr>
        <w:trPr/>
        <w:tc>
          <w:tcPr>
            <w:tcW w:w="103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Shareholders' Equity</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2024</w:t>
            </w:r>
          </w:p>
        </w:tc>
        <w:tc>
          <w:tcPr>
            <w:tcW w:w="4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2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Churchill Downs Incorporated</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stock awards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2025</w:t>
            </w:r>
          </w:p>
        </w:tc>
        <w:tc>
          <w:tcPr>
            <w:tcW w:w="42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2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Churchill Downs Incorporated</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2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Churchill Downs Incorporated</w:t>
            </w:r>
          </w:p>
        </w:tc>
        <w:tc>
          <w:tcPr>
            <w:tcW w:w="6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85"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September 30, 2025</w:t>
            </w:r>
          </w:p>
        </w:tc>
        <w:tc>
          <w:tcPr>
            <w:tcW w:w="631"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1,035 </w:t>
            </w:r>
          </w:p>
        </w:tc>
        <w:tc>
          <w:tcPr>
            <w:tcW w:w="2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47445"/>
                <wp:effectExtent l="0" t="0" r="0" b="0"/>
                <wp:wrapNone/>
                <wp:docPr id="6" name="Frame6"/>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CHURCHILL DOWNS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760" w:type="dxa"/>
        <w:jc w:val="center"/>
        <w:tblInd w:w="0" w:type="dxa"/>
        <w:tblLayout w:type="fixed"/>
        <w:tblCellMar>
          <w:top w:w="28" w:type="dxa"/>
          <w:left w:w="28" w:type="dxa"/>
          <w:bottom w:w="28" w:type="dxa"/>
          <w:right w:w="28" w:type="dxa"/>
        </w:tblCellMar>
      </w:tblPr>
      <w:tblGrid>
        <w:gridCol w:w="2436"/>
        <w:gridCol w:w="2132"/>
        <w:gridCol w:w="2151"/>
        <w:gridCol w:w="330"/>
        <w:gridCol w:w="730"/>
        <w:gridCol w:w="170"/>
        <w:gridCol w:w="170"/>
        <w:gridCol w:w="170"/>
        <w:gridCol w:w="170"/>
        <w:gridCol w:w="330"/>
        <w:gridCol w:w="730"/>
        <w:gridCol w:w="241"/>
      </w:tblGrid>
      <w:tr>
        <w:trPr/>
        <w:tc>
          <w:tcPr>
            <w:tcW w:w="243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 September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(in millions)</w:t>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operating activities:</w:t>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Net income </w:t>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405 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provided by operating activities:</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Distributions from unconsolidated affiliates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Equity in income of unconsolidated affiliates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Asset impairments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settlement of liability</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operating lease assets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revenue</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 and liabilities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10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660 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674 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investing activities:</w:t>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maintenance expenditures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project expenditures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 of gaming rights, net of cash acquired</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investing activities</w:t>
            </w:r>
          </w:p>
        </w:tc>
        <w:tc>
          <w:tcPr>
            <w:tcW w:w="10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(421)</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financing activities:</w:t>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borrowings under long-term debt obligations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1,266 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Repayments of borrowings under long-term debt obligations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(1,673)</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(754)</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 of dividends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 of noncontrolling interest</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 of common stock</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(396)</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Taxes paid related to net share settlement of stock awards </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Debt issuance costs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bank overdraft</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financing activities</w:t>
            </w:r>
          </w:p>
        </w:tc>
        <w:tc>
          <w:tcPr>
            <w:tcW w:w="10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(512)</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(237)</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(decrease) increase in cash, cash equivalents and restricted cash</w:t>
            </w:r>
          </w:p>
        </w:tc>
        <w:tc>
          <w:tcPr>
            <w:tcW w:w="10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beginning of period</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289 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cash equivalents and restricted cash, end of period</w:t>
            </w:r>
          </w:p>
        </w:tc>
        <w:tc>
          <w:tcPr>
            <w:tcW w:w="3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259 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47445"/>
                <wp:effectExtent l="0" t="0" r="0" b="0"/>
                <wp:wrapNone/>
                <wp:docPr id="7" name="Frame7"/>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CHURCHILL DOWNS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151" w:type="dxa"/>
        <w:jc w:val="center"/>
        <w:tblInd w:w="0" w:type="dxa"/>
        <w:tblLayout w:type="fixed"/>
        <w:tblCellMar>
          <w:top w:w="28" w:type="dxa"/>
          <w:left w:w="28" w:type="dxa"/>
          <w:bottom w:w="28" w:type="dxa"/>
          <w:right w:w="28" w:type="dxa"/>
        </w:tblCellMar>
      </w:tblPr>
      <w:tblGrid>
        <w:gridCol w:w="2568"/>
        <w:gridCol w:w="2257"/>
        <w:gridCol w:w="2285"/>
        <w:gridCol w:w="330"/>
        <w:gridCol w:w="730"/>
        <w:gridCol w:w="170"/>
        <w:gridCol w:w="170"/>
        <w:gridCol w:w="170"/>
        <w:gridCol w:w="170"/>
        <w:gridCol w:w="330"/>
        <w:gridCol w:w="730"/>
        <w:gridCol w:w="241"/>
      </w:tblGrid>
      <w:tr>
        <w:trPr/>
        <w:tc>
          <w:tcPr>
            <w:tcW w:w="2568"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 September 30,</w:t>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income taxes </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from income tax refunds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Schedule of non-cash operating, investing and financing activities:</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additions included in accounts payable and accrued expenses</w:t>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exchanged in connection with refinancing</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noncontrolling interest recognized in connection with asset acquisition</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1"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obtained in exchange for lease obligations in operating leases </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included in accrued expense and other current liabilities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47445"/>
                <wp:effectExtent l="0" t="0" r="0" b="0"/>
                <wp:wrapNone/>
                <wp:docPr id="8" name="Frame8"/>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Churchill Downs Incorporated (the "Company" or "CDI") financial statements are presented in conformity with the requirements of this Quarterly Report on Form 10-Q and consequently do not include all of the disclosures normally required by U.S. generally accepted accounting principles ("GAAP") or those normally made in our Annual Report on Form 10-K. The December 31, 2025 Condensed Consolidated Balance Sheet data was derived from audited financial statements but does not include all disclosures required by GAAP.</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information is unaudited. All per share amounts assume dilution unless otherwise noted. This report should be read in conjunction with our Annual Report on Form 10-K for the year ended December 31, 2025. In the opinion of management, all adjustments necessary for a fair statement of this information have been made, and all such adjustments are of a normal, recurring nature.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August 2026, the Company completed the re-acquisition of the 49% outstanding equity interests of the United Tote Company ("United Tote") from NYRA Content Management Solutions, LLC. Refer to Note 11, Redeemable Noncontrolling Interest for further information on the transaction.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August 2025, the Company completed the acquisition of 90% of the outstanding equity interests of PPE Casino Resorts NH Holdings, LLC in Salem, New Hampshire ("Casino Salem"). The Company has assumed responsibility for the development of a charitable gaming, entertainment and dining destination at this location. The Company announced in January 2026 that Casino Salem will be redeveloped as Rockingham Grand Casino. Refer to Note 3, Acquisitions, and Note 11, Redeemable Noncontrolling Interest, for further information on the transaction.</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our business through three reportable segments: Live and Historical Racing, Wagering Services and Solutions, and Gaming. The Wagering Services and Solutions segment was previously known as the TwinSpires segment. We aggregate our other businesses as well as certain corporate operations in All Other. We report net revenue and operating expense associated with these reportable segments in the accompanying Condensed Consolidated Statements of Comprehensive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2. RECENT ACCOUNTING PRONOUNCEMENTS</w:t>
      </w:r>
    </w:p>
    <w:p>
      <w:pPr>
        <w:pStyle w:val="TextBody"/>
        <w:bidi w:val="0"/>
        <w:spacing w:lineRule="auto" w:line="288" w:before="120" w:after="180"/>
        <w:jc w:val="both"/>
        <w:rPr>
          <w:rFonts w:ascii="Times New Roman;serif" w:hAnsi="Times New Roman;serif"/>
          <w:b/>
          <w:i/>
          <w:color w:val="000000"/>
          <w:sz w:val="20"/>
        </w:rPr>
      </w:pPr>
      <w:r>
        <w:rPr>
          <w:rFonts w:ascii="Times New Roman;serif" w:hAnsi="Times New Roman;serif"/>
          <w:b/>
          <w:i/>
          <w:color w:val="000000"/>
          <w:sz w:val="20"/>
        </w:rPr>
        <w:t>Recent Accounting Pronouncements - effective in 2026 or thereafter</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October 2023, the Financial Accounting Standards Board ("FASB") issued Accounting Standards Update ("ASU") 2023-06, Disclosure Improvements: Codification Amendments in Response to the Securities and Exchange Commission’s ("SEC") Disclosure Update and Simplification Initiative, to amend certain disclosure and presentation requirements for a variety of topics within FASB's Accounting Standards Codification ("ASC"). These amendments align the requirements in the ASC regarding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is currently evaluating the impact of this standard on the consolidated financial statements and related disclosures.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November 2024, FASB issued ASU 2024-03, Income Statement—Reporting Comprehensive Income—Expense Disaggregation Disclosures (Subtopic 220-40): Disaggregation of Income Statement Expenses. Under ASU 2024-03, a public entity would be required to disclose information about purchases of inventory, employee compensation, depreciation, intangible asset amortization, and depletion for each income statement line item that contains those expenses. This standard is effective for annual reporting periods beginning after December 15, 2026 and interim reporting periods beginning after December 15, 2027. Early adoption is permitted. The Company is currently evaluating the impact of this standard on the consolidated financial statements and related disclosures.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Measurement of Credit Losses for Accounts Receivable and Contract Assets (Topic 326). The update permits entities to elect a practical expedient for estimating expected credit losses on current trade receivables and current contract assets by assuming that conditions existing at the balance sheet date will remain unchanged over the life of those assets. The updated standard is effective for fiscal years beginning after December 15, 2025, and interim reporting periods within those annual reporting periods, with early adoption permitted. The adoption of this standard did not have a material impact on our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47445"/>
                <wp:effectExtent l="0" t="0" r="0" b="0"/>
                <wp:wrapNone/>
                <wp:docPr id="9" name="Frame9"/>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which modernizes the accounting for internal-use software. The update removes all references to software development stages and requires capitalization of software costs when management has committed to the software project and it is probable the software will be completed and perform its intended use. This standard is effective for annual reporting periods beginning after December 15, 2027, and interim reporting periods within those annual reporting periods. The Company is currently evaluating the impact of this standard on the consolidated financial statements and related disclosures.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which clarifies certain interim reporting guidance. The update is effective for fiscal years beginning after December 15, 2027, and interim periods within those fiscal years. The Company is currently evaluating the impact of this standard on the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3. ACQUISITIONS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Casino Salem</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27, 2025, the Company completed its acquisition of 90% of the outstanding equity interests of Casino Salem (the "Salem Transaction") for a base purchase price of $180 million, and the transaction was treated as an asset acquisition because substantially all the value of the gross assets acquired was concentrated in the gaming rights. In conjunction with the acquisition, the Company recorded a $197 million indefinite-lived gaming rights intangible, which represented the fair value of the gaming rights at the date of acquisition.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the gaming rights acquired in the transaction was determined using the Greenfield Method, which is an income approach methodology that calculates the present value of the gaming rights intangible asset based on a projected cash flow stream. This method assumes that the gaming rights intangible asset provides the opportunity to develop a gaming facility in a specified region, and that the present value of the projected cash flows is a result of the realization of advantages contained in these rights. Under this methodology, the acquirer is expected to absorb all start-up costs, as well as incur all expenses pertaining to the acquisition and/or the creation of all tangible and intangible assets. The estimated future revenue, future operating expenses, start-up costs, and discount rate were the primary inputs in the valuation. The gaming rights intangible asset was assigned an indefinite useful life based on the Company's expected use of the asset and determination that no legal, regulatory, contractual, competitive, economic, or other factors limit the useful life of the gaming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4. GOODWILL AND OTHER INTANGIBLE ASSETS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Goodwill was $900 million as of September 30, 2026 and December 31, 2025.</w:t>
      </w:r>
    </w:p>
    <w:p>
      <w:pPr>
        <w:pStyle w:val="TextBody"/>
        <w:bidi w:val="0"/>
        <w:spacing w:lineRule="auto" w:line="288" w:before="6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performed our annual goodwill impairment analysis as of April 1, 2026, and no adjustment to the carrying value of goodwill was required. We assessed goodwill for impairment by performing qualitative or quantitative analyses for each reporting unit. We concluded that the fair values of our reporting units exceeded their carrying values, and therefore no impairments were identified.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intangible assets are comprised of the following:</w:t>
      </w:r>
    </w:p>
    <w:tbl>
      <w:tblPr>
        <w:tblW w:w="10205" w:type="dxa"/>
        <w:jc w:val="left"/>
        <w:tblInd w:w="0" w:type="dxa"/>
        <w:tblLayout w:type="fixed"/>
        <w:tblCellMar>
          <w:top w:w="28" w:type="dxa"/>
          <w:left w:w="28" w:type="dxa"/>
          <w:bottom w:w="28" w:type="dxa"/>
          <w:right w:w="28" w:type="dxa"/>
        </w:tblCellMar>
      </w:tblPr>
      <w:tblGrid>
        <w:gridCol w:w="638"/>
        <w:gridCol w:w="456"/>
        <w:gridCol w:w="463"/>
        <w:gridCol w:w="324"/>
        <w:gridCol w:w="554"/>
        <w:gridCol w:w="168"/>
        <w:gridCol w:w="109"/>
        <w:gridCol w:w="109"/>
        <w:gridCol w:w="109"/>
        <w:gridCol w:w="417"/>
        <w:gridCol w:w="745"/>
        <w:gridCol w:w="217"/>
        <w:gridCol w:w="109"/>
        <w:gridCol w:w="109"/>
        <w:gridCol w:w="109"/>
        <w:gridCol w:w="237"/>
        <w:gridCol w:w="693"/>
        <w:gridCol w:w="122"/>
        <w:gridCol w:w="109"/>
        <w:gridCol w:w="109"/>
        <w:gridCol w:w="109"/>
        <w:gridCol w:w="324"/>
        <w:gridCol w:w="554"/>
        <w:gridCol w:w="168"/>
        <w:gridCol w:w="109"/>
        <w:gridCol w:w="109"/>
        <w:gridCol w:w="109"/>
        <w:gridCol w:w="417"/>
        <w:gridCol w:w="745"/>
        <w:gridCol w:w="217"/>
        <w:gridCol w:w="109"/>
        <w:gridCol w:w="109"/>
        <w:gridCol w:w="109"/>
        <w:gridCol w:w="236"/>
        <w:gridCol w:w="690"/>
        <w:gridCol w:w="185"/>
      </w:tblGrid>
      <w:tr>
        <w:trPr/>
        <w:tc>
          <w:tcPr>
            <w:tcW w:w="63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assets</w:t>
            </w:r>
          </w:p>
        </w:tc>
        <w:tc>
          <w:tcPr>
            <w:tcW w:w="3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1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1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performed our annual indefinite-lived intangible assets impairment analysis as of April 1, 2026. We assessed our indefinite-lived intangible assets for impairment by performing qualitative or quantitative analyses for each asset. Based on the results of these analyses, no indefinite-lived intangible asset impairments were identified in connection with our annual impairment testing.</w:t>
      </w:r>
    </w:p>
    <w:p>
      <w:pPr>
        <w:pStyle w:val="TextBody"/>
        <w:bidi w:val="0"/>
        <w:spacing w:before="60" w:after="120"/>
        <w:jc w:val="both"/>
        <w:rPr/>
      </w:pPr>
      <w:r>
        <w:rPr/>
      </w:r>
    </w:p>
    <w:p>
      <w:pPr>
        <w:pStyle w:val="TextBody"/>
        <w:bidi w:val="0"/>
        <w:spacing w:before="6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47445"/>
                <wp:effectExtent l="0" t="0" r="0" b="0"/>
                <wp:wrapNone/>
                <wp:docPr id="10" name="Frame10"/>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Chasers Poker Room Impairment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2025, the Company concluded that the completion of the Salem Transaction qualified as a trigger event for impairment testing related to the Chasers Poker Room ("Chasers") indefinite-lived gaming rights intangible. At the time the Company acquired Chasers, the valuation of the gaming rights contemplated a future expansion of the existing operations in Salem, New Hampshire. Given the completion of the Salem Transaction, the Company refocused on the redevelopment of Casino Salem as Rockingham Grand Casino and currently does not plan to expand Chasers.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Because the Company does not intend to expand Chasers, the Company settled an outstanding liability owed to the former owners of Chasers, related to the Chasers' gaming rights, in the amount of $10 million. The settlement of the noncurrent liability resulted in a gain of $40 million in the third quarter of 2025.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Given the completion of the Salem Transaction and the settlement of the liability related to the Chasers' gaming rights, the Company evaluated and subsequently updated the projected cash flows and discount rate related to the Chasers' gaming rights. The fair value of the Chasers' gaming rights intangible was determined using the Greenfield Method, an income approach methodology that calculates the present value based on a projected cash flow stream. This method assumes that the gaming rights intangible assets provide the opportunity to develop a casino or historical racing facility in a specified region, and that the present value of the projected cash flows is a result of the realization of advantages contained in these rights. Under this methodology, the acquirer is expected to absorb all start-up costs, as well as incur all expenses pertaining to the acquisition and/or the creation of all tangible and intangible assets. The estimated future revenue and operating expenses, start-up costs, and discount rates were the primary assumptions and estimates in the valuation of the gaming rights intangible. As a result of this assessment, the Company recognized a non-cash impairment charge of $85 million in the third quarter of 2025 for the entire value of the Chasers' gaming rights, which are included in the Live and Historical Racing segment.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$40 million gain on settlement of the noncurrent liability and the $85 million impairment charge of the gaming rights intangible are included in Asset impairments, net in the Condensed Consolidated Statements of Comprehensive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5. INCOME TAXES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rates were 27.7% for the three months and 26.6% for the nine months ended September 30, 2026. The effective income tax rates for these periods were higher than the U.S. federal statutory rate of 21.0% primarily resulting from state income taxes and non-deductible expenses.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income tax rate was 35.9% for the three months ended September 30, 2025, and was higher than the U.S. federal statutory rate of 21.0% primarily resulting from state income taxes, increased future tax expenses from the remeasurement of deferred income tax liabilities related to the Salem Transaction, and nondeductible officers’ compensation, partially offset by the excess tax benefit from restricted stock compensation distributed in the third quarter of 2025. The Company’s effective income tax rate was 25.6% for the nine months ended September 30, 2025, and was higher than the U.S. federal statutory rate of 21.0% primarily resulting from state income taxes and non-deductible officers’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6. SHAREHOLDERS' EQUITY</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Stock Repurchase Programs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22, 2025, the Board of Directors of the Company approved a common stock repurchase program of up to $500 million (the "July 2025 Stock Repurchase Program"). The July 2025 Stock Repurchase Program includes and is not in addition to the $169 million previously remaining under the March 2025 Stock Repurchase Program. Share repurchases may be made at management’s discretion from time to time in the open market (either with or without a 10b5-1 plan) or through privately negotiated transactions. The repurchase program has no time limit and may be suspended or discontinued at any time. We had approximately $382 million of repurchase authority remaining under the July 2025 Stock Repurchase Program at September 30, 2026, based on trade date.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March 12, 2025, the Board of Directors of the Company approved a new common stock repurchase program of up to $500 million (the "March 2025 Stock Repurchase Program"). The March 2025 Stock Repurchase Program included and was not in addition to any unspent amount remaining under the prior authorizations from the 2021 Stock Repurchase Program. As described above, the March 2025 Stock Repurchase Program has since been replaced by the July 2025 Stock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47445"/>
                <wp:effectExtent l="0" t="0" r="0" b="0"/>
                <wp:wrapNone/>
                <wp:docPr id="11" name="Frame11"/>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2026 and 2025, we repurchased the following shares under our stock repurchase programs:</w:t>
      </w:r>
    </w:p>
    <w:tbl>
      <w:tblPr>
        <w:tblW w:w="12094" w:type="dxa"/>
        <w:jc w:val="left"/>
        <w:tblInd w:w="0" w:type="dxa"/>
        <w:tblLayout w:type="fixed"/>
        <w:tblCellMar>
          <w:top w:w="28" w:type="dxa"/>
          <w:left w:w="28" w:type="dxa"/>
          <w:bottom w:w="28" w:type="dxa"/>
          <w:right w:w="28" w:type="dxa"/>
        </w:tblCellMar>
      </w:tblPr>
      <w:tblGrid>
        <w:gridCol w:w="694"/>
        <w:gridCol w:w="215"/>
        <w:gridCol w:w="202"/>
        <w:gridCol w:w="109"/>
        <w:gridCol w:w="109"/>
        <w:gridCol w:w="109"/>
        <w:gridCol w:w="413"/>
        <w:gridCol w:w="413"/>
        <w:gridCol w:w="226"/>
        <w:gridCol w:w="109"/>
        <w:gridCol w:w="109"/>
        <w:gridCol w:w="109"/>
        <w:gridCol w:w="307"/>
        <w:gridCol w:w="525"/>
        <w:gridCol w:w="159"/>
        <w:gridCol w:w="109"/>
        <w:gridCol w:w="109"/>
        <w:gridCol w:w="109"/>
        <w:gridCol w:w="413"/>
        <w:gridCol w:w="413"/>
        <w:gridCol w:w="226"/>
        <w:gridCol w:w="109"/>
        <w:gridCol w:w="109"/>
        <w:gridCol w:w="109"/>
        <w:gridCol w:w="307"/>
        <w:gridCol w:w="525"/>
        <w:gridCol w:w="159"/>
        <w:gridCol w:w="109"/>
        <w:gridCol w:w="109"/>
        <w:gridCol w:w="109"/>
        <w:gridCol w:w="413"/>
        <w:gridCol w:w="413"/>
        <w:gridCol w:w="226"/>
        <w:gridCol w:w="109"/>
        <w:gridCol w:w="109"/>
        <w:gridCol w:w="109"/>
        <w:gridCol w:w="307"/>
        <w:gridCol w:w="525"/>
        <w:gridCol w:w="159"/>
        <w:gridCol w:w="109"/>
        <w:gridCol w:w="109"/>
        <w:gridCol w:w="109"/>
        <w:gridCol w:w="488"/>
        <w:gridCol w:w="488"/>
        <w:gridCol w:w="226"/>
        <w:gridCol w:w="109"/>
        <w:gridCol w:w="109"/>
        <w:gridCol w:w="109"/>
        <w:gridCol w:w="263"/>
        <w:gridCol w:w="580"/>
        <w:gridCol w:w="193"/>
      </w:tblGrid>
      <w:tr>
        <w:trPr/>
        <w:tc>
          <w:tcPr>
            <w:tcW w:w="69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millions,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Repurchase Program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Purchase Price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2025 Stock Repurchase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570,169 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373,282 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570,169 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373,282 </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2025 Stock Repurchase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142,245 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3,294,447 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2021 Stock Repurchase Program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570,169 </w:t>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515,527 </w:t>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570,169 </w:t>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3,879,741 </w:t>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we had $4 million and $1 million, respectively, accrued for the future cash settlement of executed repurchases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7. STOCK-BASED COMPENSATION PLANS </w:t>
      </w:r>
    </w:p>
    <w:p>
      <w:pPr>
        <w:pStyle w:val="TextBody"/>
        <w:bidi w:val="0"/>
        <w:spacing w:lineRule="auto" w:line="288" w:before="60" w:after="120"/>
        <w:jc w:val="both"/>
        <w:rPr/>
      </w:pPr>
      <w:r>
        <w:rPr>
          <w:rFonts w:ascii="Times New Roman;serif" w:hAnsi="Times New Roman;serif"/>
          <w:b w:val="false"/>
          <w:color w:val="000000"/>
          <w:sz w:val="20"/>
        </w:rPr>
        <w:t xml:space="preserve">On February 18, 2025, our Board of Directors approved the replacement of the Churchill Downs Incorporated 2016 Omnibus Stock Incentive Plan (the "2016 Plan") with a new plan, the Churchill Downs Incorporated 2025 Omnibus Stock and Incentive Plan (the "2025 Plan"). The 2025 Plan was approved by shareholders at the Company's 2025 Annual Meeting of Shareholders held on April 22, 2025, and no further awards will be granted under the 2016 Plan. We have stock-based employee compensation plans with awards outstanding under the 2016 Plan, the 2025 Plan, and the Executive Long-Term Incentive Compensation Plan, which was adopted pursuant to the 2016 Plan. Our total stock-based compensation expense, which includes expenses related to restricted stock awards ("RSAs"), restricted stock unit awards ("RSUs"), performance share unit awards ("PSUs"), and stock options associated with our employee stock purchase </w:t>
      </w:r>
      <w:r>
        <w:rPr>
          <w:rFonts w:ascii="Times New Roman;serif" w:hAnsi="Times New Roman;serif"/>
          <w:b w:val="false"/>
          <w:color w:val="000000"/>
          <w:sz w:val="20"/>
          <w:shd w:fill="FFFFFF" w:val="clear"/>
        </w:rPr>
        <w:t xml:space="preserve">plan </w:t>
      </w:r>
      <w:r>
        <w:rPr>
          <w:rFonts w:ascii="Times New Roman;serif" w:hAnsi="Times New Roman;serif"/>
          <w:b w:val="false"/>
          <w:color w:val="000000"/>
          <w:sz w:val="20"/>
        </w:rPr>
        <w:t>was $6 million and $19 million for the three months and nine months ended September 30, 2026 and $7 million and $18 million for the three months and nine months ended September 30, 2025, respectively. At September 30, 2026 and December 31, 2025, the Com</w:t>
      </w:r>
      <w:r>
        <w:rPr>
          <w:rFonts w:ascii="Times New Roman;serif" w:hAnsi="Times New Roman;serif"/>
          <w:b w:val="false"/>
          <w:color w:val="000000"/>
          <w:sz w:val="20"/>
          <w:shd w:fill="FFFFFF" w:val="clear"/>
        </w:rPr>
        <w:t>pany h</w:t>
      </w:r>
      <w:r>
        <w:rPr>
          <w:rFonts w:ascii="Times New Roman;serif" w:hAnsi="Times New Roman;serif"/>
          <w:b w:val="false"/>
          <w:color w:val="000000"/>
          <w:sz w:val="20"/>
        </w:rPr>
        <w:t>ad $14 million and $21 million, respectively, recorded as liability-classified awards, which are included in accrued expenses and other liabilities in the accompanying Condensed Consolidated Balance Sheets.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the Company awarded RSUs to employees, as well as RSUs and PSUs to certain named executive officers, and RSAs and RSUs to directors. The vesting criteria for the PSU awards granted in 2026 were based on a three-year service period with two performance conditions and a market condition related to relative total shareholder return ("TSR") consistent with prior year grants. The total compensation cost we will recognize under the PSUs is determined using the Monte Carlo valuation methodology, which factors in the value of the TSR market condition when determining the grant date fair value of the PSU. Compensation cost for each PSU is recognized during the performance and service period based on the probable achievement of the two performance criteria. The PSUs can be converted into shares of our common stock at the time the PSU award value is finalized.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RSAs, RSUs and PSUs granted during 2026 is presented below (units in thousands):</w:t>
      </w:r>
    </w:p>
    <w:tbl>
      <w:tblPr>
        <w:tblW w:w="10205" w:type="dxa"/>
        <w:jc w:val="left"/>
        <w:tblInd w:w="0" w:type="dxa"/>
        <w:tblLayout w:type="fixed"/>
        <w:tblCellMar>
          <w:top w:w="28" w:type="dxa"/>
          <w:left w:w="28" w:type="dxa"/>
          <w:bottom w:w="28" w:type="dxa"/>
          <w:right w:w="28" w:type="dxa"/>
        </w:tblCellMar>
      </w:tblPr>
      <w:tblGrid>
        <w:gridCol w:w="385"/>
        <w:gridCol w:w="340"/>
        <w:gridCol w:w="341"/>
        <w:gridCol w:w="109"/>
        <w:gridCol w:w="109"/>
        <w:gridCol w:w="109"/>
        <w:gridCol w:w="374"/>
        <w:gridCol w:w="374"/>
        <w:gridCol w:w="376"/>
        <w:gridCol w:w="109"/>
        <w:gridCol w:w="109"/>
        <w:gridCol w:w="109"/>
        <w:gridCol w:w="788"/>
        <w:gridCol w:w="788"/>
        <w:gridCol w:w="790"/>
        <w:gridCol w:w="109"/>
        <w:gridCol w:w="109"/>
        <w:gridCol w:w="109"/>
        <w:gridCol w:w="1378"/>
        <w:gridCol w:w="1355"/>
        <w:gridCol w:w="1935"/>
      </w:tblGrid>
      <w:tr>
        <w:trPr/>
        <w:tc>
          <w:tcPr>
            <w:tcW w:w="38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Grant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Award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Number of Units Awarded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Vesting Terms</w:t>
            </w:r>
          </w:p>
        </w:tc>
      </w:tr>
      <w:tr>
        <w:trPr/>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 equally over three service periods ending in 2029</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Three-year performance and service period ending in 2028</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One-year service period ending in 2027</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One-year service period ending in 2027</w:t>
            </w:r>
          </w:p>
        </w:tc>
      </w:tr>
    </w:tbl>
    <w:p>
      <w:pPr>
        <w:pStyle w:val="TextBody"/>
        <w:bidi w:val="0"/>
        <w:spacing w:lineRule="auto" w:line="288" w:before="120" w:after="12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PSUs reflect the target number of units for the original PSU grant.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47445"/>
                <wp:effectExtent l="0" t="0" r="0" b="0"/>
                <wp:wrapNone/>
                <wp:docPr id="12" name="Frame12"/>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total debt outstanding:</w:t>
      </w:r>
    </w:p>
    <w:tbl>
      <w:tblPr>
        <w:tblW w:w="8424" w:type="dxa"/>
        <w:jc w:val="left"/>
        <w:tblInd w:w="0" w:type="dxa"/>
        <w:tblLayout w:type="fixed"/>
        <w:tblCellMar>
          <w:top w:w="28" w:type="dxa"/>
          <w:left w:w="28" w:type="dxa"/>
          <w:bottom w:w="28" w:type="dxa"/>
          <w:right w:w="28" w:type="dxa"/>
        </w:tblCellMar>
      </w:tblPr>
      <w:tblGrid>
        <w:gridCol w:w="1647"/>
        <w:gridCol w:w="1449"/>
        <w:gridCol w:w="1463"/>
        <w:gridCol w:w="397"/>
        <w:gridCol w:w="1165"/>
        <w:gridCol w:w="207"/>
        <w:gridCol w:w="109"/>
        <w:gridCol w:w="109"/>
        <w:gridCol w:w="109"/>
        <w:gridCol w:w="380"/>
        <w:gridCol w:w="1110"/>
        <w:gridCol w:w="279"/>
      </w:tblGrid>
      <w:tr>
        <w:trPr/>
        <w:tc>
          <w:tcPr>
            <w:tcW w:w="1647"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Revolver</w:t>
            </w:r>
          </w:p>
        </w:tc>
        <w:tc>
          <w:tcPr>
            <w:tcW w:w="3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2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due 2031</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due 2033</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B-1 due 2028</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Senior Notes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2030 Senior Notes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2031 Senior Notes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5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5,155 </w:t>
            </w:r>
          </w:p>
        </w:tc>
        <w:tc>
          <w:tcPr>
            <w:tcW w:w="2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 and notes payable</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Unamortized premium and deferred finance charges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current maturities and costs</w:t>
            </w:r>
          </w:p>
        </w:tc>
        <w:tc>
          <w:tcPr>
            <w:tcW w:w="39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4,063 </w:t>
            </w:r>
          </w:p>
        </w:tc>
        <w:tc>
          <w:tcPr>
            <w:tcW w:w="20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2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120"/>
        <w:jc w:val="left"/>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September 30, 2026, the Company’s senior secured credit facility (as amended from time to time, the "Credit Agreement") consisted of a $1.2 billion revolving credit facility (the "2031 Revolver"), $1.1 billion senior secured term loan A (the "2031 TLA"), $500 million senior secured term loan B (the "2033 TLB"), and a $100 million swing line commitment. The Company had $1.1 billion available borrowing capacity, after consideration of $10 million in outstanding letters of credit, under the 2031 Revolver as of September 30, 2026.</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25, 2026, the Company closed the eighth amendment to the Credit Agreement to (i) extend the maturity date of the 2031 Revolver and the 2031 TLA from July 2029 to September 2031 subject to an earlier “springing maturity” if certain indebtedness in respect to outstanding notes or other material indebtedness having a maturity prior to September 25, 2031, is not refinanced or extended to a date after September 25, 2031, at least 91 days prior to such other debt’s stated maturity date, (ii) eliminate the 10 basis points credit spread adjustment previously applicable, and (iii) amend certain other provisions of the Credit Agreement.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September 25, 2026, the 2031 Revolver and 2031 TLA bore interest at the Secured Overnight Financing Rate ("SOFR") plus 10 basis points, plus a variable applicable margin which is determined by the Company's net leverage ratio. As of September 30, 2026, that applicable margin was 150 basis points which was based on the pricing grid in the Credit Agreement. The Company is required to pay a commitment fee on the unused portion of the 2031 Revolver, as determined by a pricing grid based on the consolidated total net secured leverage ratio of the Company. For the period ended September 30, 2026, the Company's commitment fee rate was 0.25%. The 2031 TLA requires quarterly payments of 1.25% of the $1.1 billion balance and is subject to additional mandatory prepayment from excess cash flow on an annual basis per the provisions of the Credit Agreement.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capitalized $2 million of debt issuance costs associated with the amendment which will be amortized as interest expense over the remainder of the term. </w:t>
      </w:r>
    </w:p>
    <w:p>
      <w:pPr>
        <w:pStyle w:val="TextBody"/>
        <w:bidi w:val="0"/>
        <w:spacing w:lineRule="auto" w:line="276" w:before="60" w:after="120"/>
        <w:jc w:val="both"/>
        <w:rPr>
          <w:rFonts w:ascii="Times New Roman;serif" w:hAnsi="Times New Roman;serif"/>
          <w:b w:val="false"/>
          <w:color w:val="000000"/>
          <w:sz w:val="20"/>
        </w:rPr>
      </w:pPr>
      <w:r>
        <w:rPr>
          <w:rFonts w:ascii="Times New Roman;serif" w:hAnsi="Times New Roman;serif"/>
          <w:b w:val="false"/>
          <w:color w:val="000000"/>
          <w:sz w:val="20"/>
        </w:rPr>
        <w:t>On September 25, 2026, the Company entered into a new $500 million 2033 TLB under its Credit Agreement. The 2033 TLB was issued at 99.875% of the principal amount and has a maturity date of September 25, 2033. The 2033 TLB bears interest at SOFR plus 175 basis points, requires quarterly payments of 0.25% of the original $500 million balance, and may be subject to additional mandatory prepayment from excess cash flow on an annual basis per the provisions of the Credit Agreement. The Company capitalized $5 million of debt issuance costs associated with the debt which will be amortized along with the amortization of the original issue discount over the 7-year term. The Company used a portion of the net proceeds from the 2033 TLB to repay indebtedness outstanding under its Term Loan B-1 due 2028 (the "2028 TLB"), repay indebtedness outstanding under its 2031 Revolver, to fund related transaction fees and expenses, and for working capital and other general corporate purposes. The Company recognized expenses related to repayment of the 2028 TLB of $1 million, which is included in miscellaneous, net in the accompanying Condensed Consolidated Statements of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47445"/>
                <wp:effectExtent l="0" t="0" r="0" b="0"/>
                <wp:wrapNone/>
                <wp:docPr id="13" name="Frame13"/>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14, 2025, the Company announced that it closed the seventh amendment of the Credit Agreement. The seventh amendment to the Credit Agreement (i) reduced the interest rate margin applicable to the 2028 TLB by 0.25% from SOFR plus 200 basis points to SOFR plus 175 basis points, (ii) eliminated the 10 basis points credit spread adjustment previously applicable to the 2028 TLB, and (iii) made certain other amendments to the Credit Agreement.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2028 TLB required quarterly payments of 0.25% of the original $300 million balance and was subject to additional mandatory prepayment from excess cash flow on an annual basis per the provisions of the Credit Agreement.</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2027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we had $600 million in aggregate principal amount of 5.50% senior unsecured notes that mature on April 1, 2027 (the "2027 Senior Notes"). The 2027 Senior Notes were issued at par in a private offering to qualified institutional buyers, with interest payable in arrears on April 1st and October 1st of each year. The Company may redeem some or all the 2027 Senior Notes at redemption prices set forth in the 2027 Indenture. On September 18, 2026, the Company issued a conditional redemption notice to redeem the 2027 Senior Notes on October 19, 2026.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2028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September 30, 2026, we had $700 million in aggregate principal amount of 4.75% senior unsecured notes that mature on January 15, 2028 (the "2028 Senior Notes"). The 2028 Senior Notes consist of $500 million notes issued at par and $200 million notes issued at 103.25%. The 2028 Senior Notes were issued in a private offering to qualified institutional buyers, with interest payable in arrears on January 15th and July 15th of each year. The 3.25% premium is being amortized through interest expense, net over the term of the notes. The Company may redeem some or all the 2028 Senior Notes at redemption prices set forth in the 2028 Indenture.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2030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September 30, 2026, we had $1.2 billion in aggregate principal amount of 5.75% senior unsecured notes that mature on April 1, 2030 (the "2030 Senior Notes"). The 2030 Senior Notes were issued at par in a private offering to qualified institutional buyers, with interest payable in arrears on April 1st and October 1st of each year. The Company may redeem some or all the 2030 Senior Notes at redemption prices set forth in the 2030 Indenture.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2031 Senior Notes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September 30, 2026, we had $600 million in aggregate principal amount of 6.75% senior unsecured notes that mature on May 1, 2031 (the "2031 Senior Notes"). The 2031 Senior Notes were issued at par in a private offering to qualified institutional buyers, with interest payable in arrears on May 1st and November 1st of each year. The Company may redeem some or all the 2031 Senior Notes at redemption prices set forth in the 2031 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9. REVENUE FROM CONTRACTS WITH CUSTOMERS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September 30, 2026, our Live and Historical Racing segment had remaining performance obligations on contracts with a duration greater than one year relating to television rights, sponsorships, personal seat licenses, and admissions, with an aggregate transaction price of $218 million. The revenue we expect to recognize on these remaining performance obligations is $1 million for the remainder of 2026, $74 million in 2027, $45 million in 2028, and the remainder thereafter.</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September 30, 2026, our remaining performance obligations on contracts with a duration greater than one year in segments other than Live and Historical Racing were not material.</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Contract Assets and Contract Liabilities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and December 31, 2025, contract assets were not material.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and December 31, 2025, contract liabilities were $60 million and $80 million, respectively, which are included in current deferred revenue, non-current deferred revenue, and accrued expenses in the accompanying Condensed Consolidated Balance Sheets. Contract liabilities primarily relate to the Live and Historical Racing segment and the decrease was primarily due to the recognition of previously deferred revenue related to the 152nd Kentucky Derby. We recognized $2 million and $57 million of revenue during the three months and nine months ended September 30, 2026, respectively, which was included in the contract liabilities balance at December 31, 2025. We recognized $2 million and $56 million of revenue during the three months and nine months ended September 30, 2025, respectively, which was included in the contract liabilities balance at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47445"/>
                <wp:effectExtent l="0" t="0" r="0" b="0"/>
                <wp:wrapNone/>
                <wp:docPr id="14" name="Frame14"/>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included its disaggregated revenue disclosures as follows: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For the Live and Historical Racing segment, revenue is disaggregated between Churchill Downs Racetrack and historical racing properties given that Churchill Downs Racetrack revenue primarily revolves around live racing events, while our other Live and Historical Racing properties' revenues primarily revolve around historical racing. This segment is also disaggregated by location given the geographic economic factors that affect the revenue of service offerings. Within the Live and Historical Racing segment, revenue is further disaggregated between live and simulcast racing, historical racing, racing event-related services, gaming, and other services.</w:t>
      </w:r>
    </w:p>
    <w:p>
      <w:pPr>
        <w:pStyle w:val="TextBody"/>
        <w:bidi w:val="0"/>
        <w:spacing w:lineRule="auto" w:line="288" w:before="60" w:after="120"/>
        <w:ind w:left="0" w:right="0" w:hanging="360"/>
        <w:jc w:val="both"/>
        <w:rPr>
          <w:color w:val="000000"/>
        </w:rPr>
      </w:pPr>
      <w:r>
        <w:rPr>
          <w:color w:val="000000"/>
        </w:rPr>
        <w:t>•    </w:t>
      </w:r>
      <w:r>
        <w:rPr>
          <w:rFonts w:ascii="Times New Roman;serif" w:hAnsi="Times New Roman;serif"/>
          <w:b w:val="false"/>
          <w:color w:val="000000"/>
          <w:sz w:val="20"/>
        </w:rPr>
        <w:t>For the Wagering Services and Solutions segment, revenue is disaggregated between live and simulcast racing, gaming, and other services.</w:t>
      </w:r>
    </w:p>
    <w:p>
      <w:pPr>
        <w:pStyle w:val="TextBody"/>
        <w:bidi w:val="0"/>
        <w:spacing w:lineRule="auto" w:line="288" w:before="60" w:after="120"/>
        <w:ind w:left="0" w:right="0" w:hanging="360"/>
        <w:jc w:val="both"/>
        <w:rPr>
          <w:color w:val="000000"/>
        </w:rPr>
      </w:pPr>
      <w:r>
        <w:rPr>
          <w:color w:val="000000"/>
        </w:rPr>
        <w:t>•    </w:t>
      </w:r>
      <w:r>
        <w:rPr>
          <w:rFonts w:ascii="Times New Roman;serif" w:hAnsi="Times New Roman;serif"/>
          <w:b w:val="false"/>
          <w:color w:val="000000"/>
          <w:sz w:val="20"/>
        </w:rPr>
        <w:t>For the Gaming segment, revenue is disaggregated by location given the geographic economic factors that affect the revenue of Gaming service offerings. Within the Gaming segment, revenue is further disaggregated between live and simulcast racing, historical racing, racing event-related services, gaming, and other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47445"/>
                <wp:effectExtent l="0" t="0" r="0" b="0"/>
                <wp:wrapNone/>
                <wp:docPr id="15" name="Frame15"/>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believe that these disclosures depict how the amount, nature, timing, and uncertainty of cash flows are affected by economic factors. The tables below present net revenue from external customers and intercompany revenue from each of our segments:</w:t>
      </w:r>
    </w:p>
    <w:tbl>
      <w:tblPr>
        <w:tblW w:w="9784" w:type="dxa"/>
        <w:jc w:val="left"/>
        <w:tblInd w:w="0" w:type="dxa"/>
        <w:tblLayout w:type="fixed"/>
        <w:tblCellMar>
          <w:top w:w="28" w:type="dxa"/>
          <w:left w:w="28" w:type="dxa"/>
          <w:bottom w:w="28" w:type="dxa"/>
          <w:right w:w="28" w:type="dxa"/>
        </w:tblCellMar>
      </w:tblPr>
      <w:tblGrid>
        <w:gridCol w:w="1196"/>
        <w:gridCol w:w="1047"/>
        <w:gridCol w:w="1056"/>
        <w:gridCol w:w="346"/>
        <w:gridCol w:w="765"/>
        <w:gridCol w:w="179"/>
        <w:gridCol w:w="179"/>
        <w:gridCol w:w="179"/>
        <w:gridCol w:w="179"/>
        <w:gridCol w:w="346"/>
        <w:gridCol w:w="765"/>
        <w:gridCol w:w="179"/>
        <w:gridCol w:w="109"/>
        <w:gridCol w:w="109"/>
        <w:gridCol w:w="109"/>
        <w:gridCol w:w="286"/>
        <w:gridCol w:w="836"/>
        <w:gridCol w:w="147"/>
        <w:gridCol w:w="147"/>
        <w:gridCol w:w="147"/>
        <w:gridCol w:w="147"/>
        <w:gridCol w:w="286"/>
        <w:gridCol w:w="836"/>
        <w:gridCol w:w="209"/>
      </w:tblGrid>
      <w:tr>
        <w:trPr/>
        <w:tc>
          <w:tcPr>
            <w:tcW w:w="119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from external customers:</w:t>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Live and Historical Racing:</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Racetrack</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Louisville</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Northern Kentucky</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Southwestern Kentucky</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Kentucky</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Hampshire</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Live and Historical Racing</w:t>
            </w:r>
          </w:p>
        </w:tc>
        <w:tc>
          <w:tcPr>
            <w:tcW w:w="3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4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2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Gaming:</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Iowa</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Maine</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Mississippi</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Gaming</w:t>
            </w:r>
          </w:p>
        </w:tc>
        <w:tc>
          <w:tcPr>
            <w:tcW w:w="3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4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2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from external customers</w:t>
            </w:r>
          </w:p>
        </w:tc>
        <w:tc>
          <w:tcPr>
            <w:tcW w:w="3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4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2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Intercompany net revenues:</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net revenue</w:t>
            </w:r>
          </w:p>
        </w:tc>
        <w:tc>
          <w:tcPr>
            <w:tcW w:w="3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47445"/>
                <wp:effectExtent l="0" t="0" r="0" b="0"/>
                <wp:wrapNone/>
                <wp:docPr id="16" name="Frame16"/>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tbl>
      <w:tblPr>
        <w:tblW w:w="10205" w:type="dxa"/>
        <w:jc w:val="left"/>
        <w:tblInd w:w="0" w:type="dxa"/>
        <w:tblLayout w:type="fixed"/>
        <w:tblCellMar>
          <w:top w:w="28" w:type="dxa"/>
          <w:left w:w="28" w:type="dxa"/>
          <w:bottom w:w="28" w:type="dxa"/>
          <w:right w:w="28" w:type="dxa"/>
        </w:tblCellMar>
      </w:tblPr>
      <w:tblGrid>
        <w:gridCol w:w="781"/>
        <w:gridCol w:w="569"/>
        <w:gridCol w:w="577"/>
        <w:gridCol w:w="396"/>
        <w:gridCol w:w="877"/>
        <w:gridCol w:w="208"/>
        <w:gridCol w:w="109"/>
        <w:gridCol w:w="109"/>
        <w:gridCol w:w="109"/>
        <w:gridCol w:w="443"/>
        <w:gridCol w:w="982"/>
        <w:gridCol w:w="232"/>
        <w:gridCol w:w="109"/>
        <w:gridCol w:w="109"/>
        <w:gridCol w:w="109"/>
        <w:gridCol w:w="213"/>
        <w:gridCol w:w="471"/>
        <w:gridCol w:w="112"/>
        <w:gridCol w:w="109"/>
        <w:gridCol w:w="109"/>
        <w:gridCol w:w="109"/>
        <w:gridCol w:w="290"/>
        <w:gridCol w:w="643"/>
        <w:gridCol w:w="151"/>
        <w:gridCol w:w="109"/>
        <w:gridCol w:w="109"/>
        <w:gridCol w:w="109"/>
        <w:gridCol w:w="229"/>
        <w:gridCol w:w="441"/>
        <w:gridCol w:w="118"/>
        <w:gridCol w:w="109"/>
        <w:gridCol w:w="109"/>
        <w:gridCol w:w="109"/>
        <w:gridCol w:w="211"/>
        <w:gridCol w:w="466"/>
        <w:gridCol w:w="160"/>
      </w:tblGrid>
      <w:tr>
        <w:trPr/>
        <w:tc>
          <w:tcPr>
            <w:tcW w:w="7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2026</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4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from external customers</w:t>
            </w:r>
          </w:p>
        </w:tc>
        <w:tc>
          <w:tcPr>
            <w:tcW w:w="1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w:t>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simulcast racing</w:t>
            </w:r>
          </w:p>
        </w:tc>
        <w:tc>
          <w:tcPr>
            <w:tcW w:w="3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Historical racing</w:t>
            </w:r>
            <w:r>
              <w:rPr>
                <w:rFonts w:ascii="Times New Roman;serif" w:hAnsi="Times New Roman;serif"/>
                <w:b w:val="false"/>
                <w:color w:val="000000"/>
                <w:sz w:val="13"/>
              </w:rPr>
              <w:t>(a)</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Racing event-related services</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w:t>
            </w:r>
            <w:r>
              <w:rPr>
                <w:rFonts w:ascii="Times New Roman;serif" w:hAnsi="Times New Roman;serif"/>
                <w:b w:val="false"/>
                <w:color w:val="000000"/>
                <w:sz w:val="13"/>
              </w:rPr>
              <w:t>(a)</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(a)</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pStyle w:val="TextBody"/>
        <w:bidi w:val="0"/>
        <w:spacing w:before="60" w:after="120"/>
        <w:jc w:val="both"/>
        <w:rPr/>
      </w:pPr>
      <w:r>
        <w:rPr/>
      </w:r>
    </w:p>
    <w:tbl>
      <w:tblPr>
        <w:tblW w:w="10205" w:type="dxa"/>
        <w:jc w:val="left"/>
        <w:tblInd w:w="0" w:type="dxa"/>
        <w:tblLayout w:type="fixed"/>
        <w:tblCellMar>
          <w:top w:w="28" w:type="dxa"/>
          <w:left w:w="28" w:type="dxa"/>
          <w:bottom w:w="28" w:type="dxa"/>
          <w:right w:w="28" w:type="dxa"/>
        </w:tblCellMar>
      </w:tblPr>
      <w:tblGrid>
        <w:gridCol w:w="781"/>
        <w:gridCol w:w="569"/>
        <w:gridCol w:w="577"/>
        <w:gridCol w:w="396"/>
        <w:gridCol w:w="877"/>
        <w:gridCol w:w="208"/>
        <w:gridCol w:w="109"/>
        <w:gridCol w:w="109"/>
        <w:gridCol w:w="109"/>
        <w:gridCol w:w="443"/>
        <w:gridCol w:w="982"/>
        <w:gridCol w:w="232"/>
        <w:gridCol w:w="109"/>
        <w:gridCol w:w="109"/>
        <w:gridCol w:w="109"/>
        <w:gridCol w:w="213"/>
        <w:gridCol w:w="471"/>
        <w:gridCol w:w="112"/>
        <w:gridCol w:w="109"/>
        <w:gridCol w:w="109"/>
        <w:gridCol w:w="109"/>
        <w:gridCol w:w="290"/>
        <w:gridCol w:w="643"/>
        <w:gridCol w:w="151"/>
        <w:gridCol w:w="109"/>
        <w:gridCol w:w="109"/>
        <w:gridCol w:w="109"/>
        <w:gridCol w:w="229"/>
        <w:gridCol w:w="441"/>
        <w:gridCol w:w="118"/>
        <w:gridCol w:w="109"/>
        <w:gridCol w:w="109"/>
        <w:gridCol w:w="109"/>
        <w:gridCol w:w="211"/>
        <w:gridCol w:w="466"/>
        <w:gridCol w:w="160"/>
      </w:tblGrid>
      <w:tr>
        <w:trPr/>
        <w:tc>
          <w:tcPr>
            <w:tcW w:w="7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4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from external customers</w:t>
            </w:r>
          </w:p>
        </w:tc>
        <w:tc>
          <w:tcPr>
            <w:tcW w:w="1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w:t>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simulcast racing</w:t>
            </w:r>
          </w:p>
        </w:tc>
        <w:tc>
          <w:tcPr>
            <w:tcW w:w="3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Historical racing</w:t>
            </w:r>
            <w:r>
              <w:rPr>
                <w:rFonts w:ascii="Times New Roman;serif" w:hAnsi="Times New Roman;serif"/>
                <w:b w:val="false"/>
                <w:color w:val="000000"/>
                <w:sz w:val="13"/>
              </w:rPr>
              <w:t>(a)</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Racing event-related services</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w:t>
            </w:r>
            <w:r>
              <w:rPr>
                <w:rFonts w:ascii="Times New Roman;serif" w:hAnsi="Times New Roman;serif"/>
                <w:b w:val="false"/>
                <w:color w:val="000000"/>
                <w:sz w:val="13"/>
              </w:rPr>
              <w:t>(a)</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(a)</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racing pari-mutuel revenue for historical racing machines ("HRMs") or gaming revenue for our casino properties. These amounts were $16 million for the three months ended September 30, 2026 and $15 million for the three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47445"/>
                <wp:effectExtent l="0" t="0" r="0" b="0"/>
                <wp:wrapNone/>
                <wp:docPr id="17" name="Frame17"/>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tbl>
      <w:tblPr>
        <w:tblW w:w="10205" w:type="dxa"/>
        <w:jc w:val="left"/>
        <w:tblInd w:w="0" w:type="dxa"/>
        <w:tblLayout w:type="fixed"/>
        <w:tblCellMar>
          <w:top w:w="28" w:type="dxa"/>
          <w:left w:w="28" w:type="dxa"/>
          <w:bottom w:w="28" w:type="dxa"/>
          <w:right w:w="28" w:type="dxa"/>
        </w:tblCellMar>
      </w:tblPr>
      <w:tblGrid>
        <w:gridCol w:w="763"/>
        <w:gridCol w:w="549"/>
        <w:gridCol w:w="556"/>
        <w:gridCol w:w="323"/>
        <w:gridCol w:w="947"/>
        <w:gridCol w:w="169"/>
        <w:gridCol w:w="109"/>
        <w:gridCol w:w="109"/>
        <w:gridCol w:w="109"/>
        <w:gridCol w:w="429"/>
        <w:gridCol w:w="950"/>
        <w:gridCol w:w="225"/>
        <w:gridCol w:w="109"/>
        <w:gridCol w:w="109"/>
        <w:gridCol w:w="109"/>
        <w:gridCol w:w="213"/>
        <w:gridCol w:w="471"/>
        <w:gridCol w:w="112"/>
        <w:gridCol w:w="109"/>
        <w:gridCol w:w="109"/>
        <w:gridCol w:w="109"/>
        <w:gridCol w:w="246"/>
        <w:gridCol w:w="719"/>
        <w:gridCol w:w="127"/>
        <w:gridCol w:w="109"/>
        <w:gridCol w:w="109"/>
        <w:gridCol w:w="109"/>
        <w:gridCol w:w="227"/>
        <w:gridCol w:w="438"/>
        <w:gridCol w:w="117"/>
        <w:gridCol w:w="109"/>
        <w:gridCol w:w="109"/>
        <w:gridCol w:w="109"/>
        <w:gridCol w:w="211"/>
        <w:gridCol w:w="616"/>
        <w:gridCol w:w="162"/>
      </w:tblGrid>
      <w:tr>
        <w:trPr/>
        <w:tc>
          <w:tcPr>
            <w:tcW w:w="76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2026</w:t>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from external customers</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simulcast racing</w:t>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Historical racing</w:t>
            </w:r>
            <w:r>
              <w:rPr>
                <w:rFonts w:ascii="Times New Roman;serif" w:hAnsi="Times New Roman;serif"/>
                <w:b w:val="false"/>
                <w:color w:val="000000"/>
                <w:sz w:val="13"/>
              </w:rPr>
              <w:t>(a)</w:t>
            </w:r>
          </w:p>
        </w:tc>
        <w:tc>
          <w:tcPr>
            <w:tcW w:w="1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Racing event-related services</w:t>
            </w:r>
          </w:p>
        </w:tc>
        <w:tc>
          <w:tcPr>
            <w:tcW w:w="1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w:t>
            </w:r>
            <w:r>
              <w:rPr>
                <w:rFonts w:ascii="Times New Roman;serif" w:hAnsi="Times New Roman;serif"/>
                <w:b w:val="false"/>
                <w:color w:val="000000"/>
                <w:sz w:val="13"/>
              </w:rPr>
              <w:t>(a)</w:t>
            </w:r>
          </w:p>
        </w:tc>
        <w:tc>
          <w:tcPr>
            <w:tcW w:w="1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(a)</w:t>
            </w:r>
          </w:p>
        </w:tc>
        <w:tc>
          <w:tcPr>
            <w:tcW w:w="1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63"/>
        <w:gridCol w:w="549"/>
        <w:gridCol w:w="556"/>
        <w:gridCol w:w="323"/>
        <w:gridCol w:w="947"/>
        <w:gridCol w:w="169"/>
        <w:gridCol w:w="109"/>
        <w:gridCol w:w="109"/>
        <w:gridCol w:w="109"/>
        <w:gridCol w:w="429"/>
        <w:gridCol w:w="950"/>
        <w:gridCol w:w="225"/>
        <w:gridCol w:w="109"/>
        <w:gridCol w:w="109"/>
        <w:gridCol w:w="109"/>
        <w:gridCol w:w="213"/>
        <w:gridCol w:w="471"/>
        <w:gridCol w:w="112"/>
        <w:gridCol w:w="109"/>
        <w:gridCol w:w="109"/>
        <w:gridCol w:w="109"/>
        <w:gridCol w:w="246"/>
        <w:gridCol w:w="719"/>
        <w:gridCol w:w="127"/>
        <w:gridCol w:w="109"/>
        <w:gridCol w:w="109"/>
        <w:gridCol w:w="109"/>
        <w:gridCol w:w="227"/>
        <w:gridCol w:w="438"/>
        <w:gridCol w:w="117"/>
        <w:gridCol w:w="109"/>
        <w:gridCol w:w="109"/>
        <w:gridCol w:w="109"/>
        <w:gridCol w:w="211"/>
        <w:gridCol w:w="616"/>
        <w:gridCol w:w="162"/>
      </w:tblGrid>
      <w:tr>
        <w:trPr/>
        <w:tc>
          <w:tcPr>
            <w:tcW w:w="76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from external customers</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simulcast racing</w:t>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Historical racing</w:t>
            </w:r>
            <w:r>
              <w:rPr>
                <w:rFonts w:ascii="Times New Roman;serif" w:hAnsi="Times New Roman;serif"/>
                <w:b w:val="false"/>
                <w:color w:val="000000"/>
                <w:sz w:val="13"/>
              </w:rPr>
              <w:t>(a)</w:t>
            </w:r>
          </w:p>
        </w:tc>
        <w:tc>
          <w:tcPr>
            <w:tcW w:w="1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Racing event-related services</w:t>
            </w:r>
          </w:p>
        </w:tc>
        <w:tc>
          <w:tcPr>
            <w:tcW w:w="1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w:t>
            </w:r>
            <w:r>
              <w:rPr>
                <w:rFonts w:ascii="Times New Roman;serif" w:hAnsi="Times New Roman;serif"/>
                <w:b w:val="false"/>
                <w:color w:val="000000"/>
                <w:sz w:val="13"/>
              </w:rPr>
              <w:t>(a)</w:t>
            </w:r>
          </w:p>
        </w:tc>
        <w:tc>
          <w:tcPr>
            <w:tcW w:w="1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(a)</w:t>
            </w:r>
          </w:p>
        </w:tc>
        <w:tc>
          <w:tcPr>
            <w:tcW w:w="12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6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racing pari-mutuel revenue for HRMs or gaming revenue for our casino properties. These amounts were $48 million for the nine months ended September 30, 2026 and $45 million for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47445"/>
                <wp:effectExtent l="0" t="0" r="0" b="0"/>
                <wp:wrapNone/>
                <wp:docPr id="18" name="Frame18"/>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120" w:after="120"/>
        <w:ind w:left="0" w:right="0" w:hanging="540"/>
        <w:jc w:val="left"/>
        <w:rPr>
          <w:rFonts w:ascii="Times New Roman;serif" w:hAnsi="Times New Roman;serif"/>
          <w:b/>
          <w:color w:val="000000"/>
          <w:sz w:val="20"/>
        </w:rPr>
      </w:pPr>
      <w:r>
        <w:rPr>
          <w:rFonts w:ascii="Times New Roman;serif" w:hAnsi="Times New Roman;serif"/>
          <w:b/>
          <w:color w:val="000000"/>
          <w:sz w:val="20"/>
        </w:rPr>
        <w:t>10. SUPPLEMENTAL BALANCE SHEET INFORMATION</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Accounts receivable is comprised of the following:</w:t>
      </w:r>
    </w:p>
    <w:tbl>
      <w:tblPr>
        <w:tblW w:w="7451" w:type="dxa"/>
        <w:jc w:val="left"/>
        <w:tblInd w:w="0" w:type="dxa"/>
        <w:tblLayout w:type="fixed"/>
        <w:tblCellMar>
          <w:top w:w="28" w:type="dxa"/>
          <w:left w:w="28" w:type="dxa"/>
          <w:bottom w:w="28" w:type="dxa"/>
          <w:right w:w="28" w:type="dxa"/>
        </w:tblCellMar>
      </w:tblPr>
      <w:tblGrid>
        <w:gridCol w:w="1295"/>
        <w:gridCol w:w="1138"/>
        <w:gridCol w:w="1151"/>
        <w:gridCol w:w="475"/>
        <w:gridCol w:w="1049"/>
        <w:gridCol w:w="246"/>
        <w:gridCol w:w="109"/>
        <w:gridCol w:w="109"/>
        <w:gridCol w:w="109"/>
        <w:gridCol w:w="514"/>
        <w:gridCol w:w="880"/>
        <w:gridCol w:w="376"/>
      </w:tblGrid>
      <w:tr>
        <w:trPr/>
        <w:tc>
          <w:tcPr>
            <w:tcW w:w="129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4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Simulcast and online wagering receivables</w:t>
            </w:r>
          </w:p>
        </w:tc>
        <w:tc>
          <w:tcPr>
            <w:tcW w:w="1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4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 xml:space="preserve">Other current assets </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Other current assets is comprised of the following:</w:t>
      </w:r>
    </w:p>
    <w:tbl>
      <w:tblPr>
        <w:tblW w:w="6297" w:type="dxa"/>
        <w:jc w:val="left"/>
        <w:tblInd w:w="0" w:type="dxa"/>
        <w:tblLayout w:type="fixed"/>
        <w:tblCellMar>
          <w:top w:w="28" w:type="dxa"/>
          <w:left w:w="28" w:type="dxa"/>
          <w:bottom w:w="28" w:type="dxa"/>
          <w:right w:w="28" w:type="dxa"/>
        </w:tblCellMar>
      </w:tblPr>
      <w:tblGrid>
        <w:gridCol w:w="918"/>
        <w:gridCol w:w="804"/>
        <w:gridCol w:w="708"/>
        <w:gridCol w:w="547"/>
        <w:gridCol w:w="938"/>
        <w:gridCol w:w="285"/>
        <w:gridCol w:w="109"/>
        <w:gridCol w:w="109"/>
        <w:gridCol w:w="109"/>
        <w:gridCol w:w="514"/>
        <w:gridCol w:w="880"/>
        <w:gridCol w:w="376"/>
      </w:tblGrid>
      <w:tr>
        <w:trPr/>
        <w:tc>
          <w:tcPr>
            <w:tcW w:w="91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5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technology costs</w:t>
            </w:r>
          </w:p>
        </w:tc>
        <w:tc>
          <w:tcPr>
            <w:tcW w:w="14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 and taxes</w:t>
            </w:r>
          </w:p>
        </w:tc>
        <w:tc>
          <w:tcPr>
            <w:tcW w:w="14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costs</w:t>
            </w:r>
          </w:p>
        </w:tc>
        <w:tc>
          <w:tcPr>
            <w:tcW w:w="14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deposits and other</w:t>
            </w:r>
          </w:p>
        </w:tc>
        <w:tc>
          <w:tcPr>
            <w:tcW w:w="14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4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w:t>
      </w:r>
    </w:p>
    <w:tbl>
      <w:tblPr>
        <w:tblW w:w="6940" w:type="dxa"/>
        <w:jc w:val="left"/>
        <w:tblInd w:w="0" w:type="dxa"/>
        <w:tblLayout w:type="fixed"/>
        <w:tblCellMar>
          <w:top w:w="28" w:type="dxa"/>
          <w:left w:w="28" w:type="dxa"/>
          <w:bottom w:w="28" w:type="dxa"/>
          <w:right w:w="28" w:type="dxa"/>
        </w:tblCellMar>
      </w:tblPr>
      <w:tblGrid>
        <w:gridCol w:w="1111"/>
        <w:gridCol w:w="976"/>
        <w:gridCol w:w="987"/>
        <w:gridCol w:w="475"/>
        <w:gridCol w:w="1049"/>
        <w:gridCol w:w="246"/>
        <w:gridCol w:w="109"/>
        <w:gridCol w:w="109"/>
        <w:gridCol w:w="109"/>
        <w:gridCol w:w="448"/>
        <w:gridCol w:w="992"/>
        <w:gridCol w:w="329"/>
      </w:tblGrid>
      <w:tr>
        <w:trPr/>
        <w:tc>
          <w:tcPr>
            <w:tcW w:w="11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 wagering deposits liability</w:t>
            </w:r>
          </w:p>
        </w:tc>
        <w:tc>
          <w:tcPr>
            <w:tcW w:w="4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related benefits</w:t>
            </w:r>
          </w:p>
        </w:tc>
        <w:tc>
          <w:tcPr>
            <w:tcW w:w="1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Purses payable</w:t>
            </w:r>
          </w:p>
        </w:tc>
        <w:tc>
          <w:tcPr>
            <w:tcW w:w="1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fixed assets</w:t>
            </w:r>
          </w:p>
        </w:tc>
        <w:tc>
          <w:tcPr>
            <w:tcW w:w="1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gaming liabilities</w:t>
            </w:r>
          </w:p>
        </w:tc>
        <w:tc>
          <w:tcPr>
            <w:tcW w:w="1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w:t>
            </w:r>
          </w:p>
        </w:tc>
        <w:tc>
          <w:tcPr>
            <w:tcW w:w="1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property taxes</w:t>
            </w:r>
          </w:p>
        </w:tc>
        <w:tc>
          <w:tcPr>
            <w:tcW w:w="1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1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2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11. REDEEMABLE NONCONTROLLING INTEREST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April 2024, the Company closed on the sale of 49% of United Tote, a wholly-owned subsidiary of CDI, to the New York Racing Association, Inc. ("NYRA"). NYRA's interest included certain embedded redemption features, such as a put right, that were not exclusively within the Company’s control. In August 2026, the Company re-acquired NYRA's interest of United Tote. Prior to this acquisition, NYRA's interest was treated as redeemable noncontrolling interest and was presented outside of permanent equity on the Company’s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47445"/>
                <wp:effectExtent l="0" t="0" r="0" b="0"/>
                <wp:wrapNone/>
                <wp:docPr id="19" name="Frame19"/>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August 2025, the Company closed on the purchase of 90% of Casino Salem, a joint venture with SL Salem, LLC and JPF Casino Enterprises, LLC (collectively, the "Casino Salem Minority Interest Holders"). The Casino Salem Minority Interest Holders' interests include certain embedded redemption features, such as put rights, that are not exclusively within the Company’s control. The Casino Salem Minority Interest Holders' interests are treated as redeemable noncontrolling interest and are not included in the permanent equity on the Company’s Condensed Consolidated Balance Sheets.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redeemable noncontrolling interest is initially accounted for at fair value and subsequently adjusted to the greater of the redemption value or the carrying value. Redeemable noncontrolling interest adjustments of carrying value to redemption value are reflected in retained earnings and are also included as an adjustment to income available to the Company’s shareholders in the calculation of earnings per share (See Note 15, Net Income Per Common Share Computations). The table below depicts changes in the Company’s redeemable noncontrolling interest balance.</w:t>
      </w:r>
    </w:p>
    <w:tbl>
      <w:tblPr>
        <w:tblW w:w="6273" w:type="dxa"/>
        <w:jc w:val="left"/>
        <w:tblInd w:w="0" w:type="dxa"/>
        <w:tblLayout w:type="fixed"/>
        <w:tblCellMar>
          <w:top w:w="28" w:type="dxa"/>
          <w:left w:w="28" w:type="dxa"/>
          <w:bottom w:w="28" w:type="dxa"/>
          <w:right w:w="28" w:type="dxa"/>
        </w:tblCellMar>
      </w:tblPr>
      <w:tblGrid>
        <w:gridCol w:w="1887"/>
        <w:gridCol w:w="1659"/>
        <w:gridCol w:w="1674"/>
        <w:gridCol w:w="211"/>
        <w:gridCol w:w="361"/>
        <w:gridCol w:w="109"/>
        <w:gridCol w:w="109"/>
        <w:gridCol w:w="109"/>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redeemable noncontrolling interests</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value adjustment</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noncontrolling interest</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Minority holder contributions</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2026</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pPr>
      <w:r>
        <w:rPr>
          <w:rFonts w:ascii="Times New Roman;serif" w:hAnsi="Times New Roman;serif"/>
          <w:b/>
          <w:color w:val="000000"/>
          <w:sz w:val="20"/>
        </w:rPr>
        <w:t>12. INVESTMENTS IN AND ADVANCES TO UNCONSOLIDATED AFFILIATES</w:t>
      </w:r>
      <w:r>
        <w:rPr>
          <w:color w:val="000000"/>
          <w:shd w:fill="FFFFFF" w:val="clear"/>
        </w:rPr>
        <w:t xml:space="preserv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Investments in and advances to unconsolidated affiliates as of September 30, 2026 and December 31, 2025, primarily consisted of interests in Rivers Casino Des Plaines ("Rivers Des Plaines") and Miami Valley Gaming and Racing ("MVG").</w:t>
      </w:r>
    </w:p>
    <w:p>
      <w:pPr>
        <w:pStyle w:val="TextBody"/>
        <w:bidi w:val="0"/>
        <w:spacing w:lineRule="auto" w:line="288" w:before="6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Rivers Casino Des Plaines </w:t>
      </w:r>
    </w:p>
    <w:p>
      <w:pPr>
        <w:pStyle w:val="TextBody"/>
        <w:bidi w:val="0"/>
        <w:spacing w:lineRule="auto" w:line="288" w:before="60" w:after="120"/>
        <w:jc w:val="both"/>
        <w:rPr/>
      </w:pPr>
      <w:r>
        <w:rPr>
          <w:rFonts w:ascii="Times New Roman;serif" w:hAnsi="Times New Roman;serif"/>
          <w:b w:val="false"/>
          <w:color w:val="000000"/>
          <w:sz w:val="20"/>
        </w:rPr>
        <w:t xml:space="preserve">The ownership of Rivers Des Plaines is comprised of the following: (1) the Company owns 61.3%, (2) High Plaines Gaming, LLC ("High Plaines"), an affiliate of Rush Street Gaming, LLC, owns 36.0%, and (3) Casino Investors, LLC owns 2.7%. Both the Company and High Plaines have participating rights over Rivers Des Plaines, and both must consent to certain operating, investing and financing decisions. As a result, we account for Rivers Des Plaines using the equity method.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2026</w:t>
      </w:r>
      <w:r>
        <w:rPr>
          <w:rFonts w:ascii="Times New Roman;serif" w:hAnsi="Times New Roman;serif"/>
          <w:b w:val="false"/>
          <w:color w:val="000000"/>
          <w:sz w:val="20"/>
          <w:shd w:fill="FFFFFF" w:val="clear"/>
        </w:rPr>
        <w:t xml:space="preserve">, the net aggregate basis difference between the Company’s investment in Rivers Des Plaines and the amounts of the underlying equity in net assets </w:t>
      </w:r>
      <w:r>
        <w:rPr>
          <w:rFonts w:ascii="Times New Roman;serif" w:hAnsi="Times New Roman;serif"/>
          <w:b w:val="false"/>
          <w:color w:val="000000"/>
          <w:sz w:val="20"/>
        </w:rPr>
        <w:t>was $833 million.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investment in Rivers Des Plaines was $583 million and $573 million as of September 30, 2026 and December 31, 2025, respectively. The Company received distributions from Rivers Des Plaines of $68 million and $56 million for the nine months ended September 30, 2026 and 2025, respectively.</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Miami Valley Gaming and Racing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owns a 50.0% interest in MVG and Delaware North Companies Gaming &amp; Entertainment Inc. ("DNC") owns the remaining 50.0% interest in MVG. Since both the Company and DNC have participating rights over MVG, and both must consent to certain operating, investing and financing decisions, we account for MVG using the equity method.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investment in MVG was $111 million and $112 million as of September 30, 2026 and December 31, 2025, respectively. The Company received distributions from MVG of $38 million and $35 million for the nine months ended September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47445"/>
                <wp:effectExtent l="0" t="0" r="0" b="0"/>
                <wp:wrapNone/>
                <wp:docPr id="20" name="Frame20"/>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Summarized Financial Results for our Unconsolidated Affiliates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Summarized below are the financial results for our unconsolidated affiliates. </w:t>
      </w:r>
    </w:p>
    <w:tbl>
      <w:tblPr>
        <w:tblW w:w="9191" w:type="dxa"/>
        <w:jc w:val="left"/>
        <w:tblInd w:w="0" w:type="dxa"/>
        <w:tblLayout w:type="fixed"/>
        <w:tblCellMar>
          <w:top w:w="28" w:type="dxa"/>
          <w:left w:w="28" w:type="dxa"/>
          <w:bottom w:w="28" w:type="dxa"/>
          <w:right w:w="28" w:type="dxa"/>
        </w:tblCellMar>
      </w:tblPr>
      <w:tblGrid>
        <w:gridCol w:w="939"/>
        <w:gridCol w:w="824"/>
        <w:gridCol w:w="832"/>
        <w:gridCol w:w="346"/>
        <w:gridCol w:w="765"/>
        <w:gridCol w:w="179"/>
        <w:gridCol w:w="179"/>
        <w:gridCol w:w="179"/>
        <w:gridCol w:w="179"/>
        <w:gridCol w:w="346"/>
        <w:gridCol w:w="765"/>
        <w:gridCol w:w="179"/>
        <w:gridCol w:w="109"/>
        <w:gridCol w:w="109"/>
        <w:gridCol w:w="109"/>
        <w:gridCol w:w="333"/>
        <w:gridCol w:w="736"/>
        <w:gridCol w:w="172"/>
        <w:gridCol w:w="172"/>
        <w:gridCol w:w="172"/>
        <w:gridCol w:w="172"/>
        <w:gridCol w:w="333"/>
        <w:gridCol w:w="736"/>
        <w:gridCol w:w="172"/>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SG&amp;A expense</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1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7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7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956" w:type="dxa"/>
        <w:jc w:val="left"/>
        <w:tblInd w:w="0" w:type="dxa"/>
        <w:tblLayout w:type="fixed"/>
        <w:tblCellMar>
          <w:top w:w="28" w:type="dxa"/>
          <w:left w:w="28" w:type="dxa"/>
          <w:bottom w:w="28" w:type="dxa"/>
          <w:right w:w="28" w:type="dxa"/>
        </w:tblCellMar>
      </w:tblPr>
      <w:tblGrid>
        <w:gridCol w:w="1118"/>
        <w:gridCol w:w="981"/>
        <w:gridCol w:w="991"/>
        <w:gridCol w:w="475"/>
        <w:gridCol w:w="1049"/>
        <w:gridCol w:w="246"/>
        <w:gridCol w:w="109"/>
        <w:gridCol w:w="109"/>
        <w:gridCol w:w="109"/>
        <w:gridCol w:w="448"/>
        <w:gridCol w:w="992"/>
        <w:gridCol w:w="329"/>
      </w:tblGrid>
      <w:tr>
        <w:trPr/>
        <w:tc>
          <w:tcPr>
            <w:tcW w:w="111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4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4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3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Members' Deficit</w:t>
            </w:r>
          </w:p>
        </w:tc>
        <w:tc>
          <w:tcPr>
            <w:tcW w:w="17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4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 deficit</w:t>
            </w:r>
          </w:p>
        </w:tc>
        <w:tc>
          <w:tcPr>
            <w:tcW w:w="1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members' deficit</w:t>
            </w:r>
          </w:p>
        </w:tc>
        <w:tc>
          <w:tcPr>
            <w:tcW w:w="4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2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3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13. FAIR VALUE OF ASSETS AND LIABILITIES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endeavor to utilize the best available information in measuring fair value. Financial assets and liabilities are classified based on the lowest level of input that is significant to the fair value measurement. The following methods and assumptions are used to estimate the fair value of each class of financial instruments for which it is practicable to estimate.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restricted cash accounts held in money market and interest-bearing accounts qualify for Level 1 in the fair value hierarchy, which includes unadjusted quoted market prices in active markets for identical assets.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2031 Senior Notes, 2030 Senior Notes, 2028 Senior Notes, and 2027 Senior Notes are estimated based on unadjusted quoted prices for identical or similar liabilities in markets that are not active and as such are Level 2 measurements. The fair values of the Company's 2031 Revolver, 2031 TLA, 2033 TLB, and 2028 TLB under the Credit Agreement approximate the gross carrying value of the variable rate debt and as such are Level 2 measurements.</w:t>
      </w:r>
    </w:p>
    <w:p>
      <w:pPr>
        <w:pStyle w:val="TextBody"/>
        <w:bidi w:val="0"/>
        <w:spacing w:before="6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47445"/>
                <wp:effectExtent l="0" t="0" r="0" b="0"/>
                <wp:wrapNone/>
                <wp:docPr id="21" name="Frame21"/>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carrying amounts and estimated fair values by input level of the Company's financial instruments are as follows:</w:t>
      </w:r>
    </w:p>
    <w:tbl>
      <w:tblPr>
        <w:tblW w:w="8358" w:type="dxa"/>
        <w:jc w:val="left"/>
        <w:tblInd w:w="0" w:type="dxa"/>
        <w:tblLayout w:type="fixed"/>
        <w:tblCellMar>
          <w:top w:w="28" w:type="dxa"/>
          <w:left w:w="28" w:type="dxa"/>
          <w:bottom w:w="28" w:type="dxa"/>
          <w:right w:w="28" w:type="dxa"/>
        </w:tblCellMar>
      </w:tblPr>
      <w:tblGrid>
        <w:gridCol w:w="781"/>
        <w:gridCol w:w="686"/>
        <w:gridCol w:w="693"/>
        <w:gridCol w:w="501"/>
        <w:gridCol w:w="859"/>
        <w:gridCol w:w="260"/>
        <w:gridCol w:w="109"/>
        <w:gridCol w:w="109"/>
        <w:gridCol w:w="109"/>
        <w:gridCol w:w="316"/>
        <w:gridCol w:w="541"/>
        <w:gridCol w:w="163"/>
        <w:gridCol w:w="109"/>
        <w:gridCol w:w="109"/>
        <w:gridCol w:w="109"/>
        <w:gridCol w:w="228"/>
        <w:gridCol w:w="390"/>
        <w:gridCol w:w="117"/>
        <w:gridCol w:w="109"/>
        <w:gridCol w:w="109"/>
        <w:gridCol w:w="109"/>
        <w:gridCol w:w="213"/>
        <w:gridCol w:w="412"/>
        <w:gridCol w:w="110"/>
        <w:gridCol w:w="109"/>
        <w:gridCol w:w="109"/>
        <w:gridCol w:w="109"/>
        <w:gridCol w:w="213"/>
        <w:gridCol w:w="412"/>
        <w:gridCol w:w="155"/>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6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5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Revolver</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due 2031</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due 2033</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B-1 due 2028</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Senior Notes</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Senior Notes</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Senior Notes</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6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5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Revolver</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due 2031</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due 2033</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B-1 due 2028</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Senior Notes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Senior Notes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Senior Notes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14. CONTINGENCIES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are involved in litigation arising in the ordinary course of conducting business. We carry insurance for workers' compensation claims from our employees and general liability for claims from independent contractors, customers, and guests. We are self-insured up to an aggregate stop loss for our general liability and workers' compensation coverages.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review all litigation on an ongoing basis when making accrual and disclosure decisions. For certain legal proceedings, we cannot reasonably estimate losses or a range of loss, if any, particularly for proceedings that are in the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consolidated financial condition, results of operations, or cash flows. Legal fees are expensed as incurred.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the loss contingency in question is not both probable and reasonably estimable, we do not establish an accrual and the matter will continue to be monitored for any developments that would make the loss contingency both probable and reasonably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47445"/>
                <wp:effectExtent l="0" t="0" r="0" b="0"/>
                <wp:wrapNone/>
                <wp:docPr id="22" name="Frame22"/>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estimable. In the event that a legal proceeding results in a substantial judgment against us, or settlement by us, there can be no assurance that any resulting liability or financial commitment would not have a material adverse impact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15. NET INCOME PER COMMON SHARE COMPUTATIONS</w:t>
      </w:r>
    </w:p>
    <w:p>
      <w:pPr>
        <w:pStyle w:val="TextBody"/>
        <w:bidi w:val="0"/>
        <w:spacing w:lineRule="auto" w:line="417"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numerator and denominator of the net income per common share computations:</w:t>
      </w:r>
    </w:p>
    <w:tbl>
      <w:tblPr>
        <w:tblW w:w="10205" w:type="dxa"/>
        <w:jc w:val="left"/>
        <w:tblInd w:w="0" w:type="dxa"/>
        <w:tblLayout w:type="fixed"/>
        <w:tblCellMar>
          <w:top w:w="28" w:type="dxa"/>
          <w:left w:w="28" w:type="dxa"/>
          <w:bottom w:w="28" w:type="dxa"/>
          <w:right w:w="28" w:type="dxa"/>
        </w:tblCellMar>
      </w:tblPr>
      <w:tblGrid>
        <w:gridCol w:w="1636"/>
        <w:gridCol w:w="1302"/>
        <w:gridCol w:w="1308"/>
        <w:gridCol w:w="301"/>
        <w:gridCol w:w="729"/>
        <w:gridCol w:w="155"/>
        <w:gridCol w:w="155"/>
        <w:gridCol w:w="155"/>
        <w:gridCol w:w="155"/>
        <w:gridCol w:w="301"/>
        <w:gridCol w:w="729"/>
        <w:gridCol w:w="155"/>
        <w:gridCol w:w="109"/>
        <w:gridCol w:w="109"/>
        <w:gridCol w:w="109"/>
        <w:gridCol w:w="289"/>
        <w:gridCol w:w="701"/>
        <w:gridCol w:w="149"/>
        <w:gridCol w:w="149"/>
        <w:gridCol w:w="149"/>
        <w:gridCol w:w="149"/>
        <w:gridCol w:w="289"/>
        <w:gridCol w:w="701"/>
        <w:gridCol w:w="221"/>
      </w:tblGrid>
      <w:tr>
        <w:trPr/>
        <w:tc>
          <w:tcPr>
            <w:tcW w:w="163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(in millions, except per share data) </w:t>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net income per common share:</w:t>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Churchill Downs Incorporated</w:t>
            </w:r>
          </w:p>
        </w:tc>
        <w:tc>
          <w:tcPr>
            <w:tcW w:w="3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related to redeemable noncontrolling interests</w:t>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net income per common share: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dilutive effect of stock awards</w:t>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data:</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w:t>
            </w:r>
          </w:p>
        </w:tc>
        <w:tc>
          <w:tcPr>
            <w:tcW w:w="3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w:t>
            </w:r>
          </w:p>
        </w:tc>
        <w:tc>
          <w:tcPr>
            <w:tcW w:w="30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5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4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22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16. SEGMENT INFORMATION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manage our operations through three reportable segments: Live and Historical Racing, Wagering Services and Solutions, and Gaming. Our operating segments reflect the internal management reporting used by our chief operating decision maker, our Chief Executive Officer, to evaluate results of operations and to assess performance and allocate resources.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Eliminations include the elimination of intersegment transactions. We utilize non-GAAP measures, including EBITDA (earnings before interest, taxes, depreciation and amortization) and Adjusted EBITDA. Our chief operating decision maker utilizes Adjusted EBITDA to evaluate segment performance, develop strategy, and allocate resources. Adjusted EBITDA includes the following adjustments: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Adjusted EBITDA includes our portion of EBITDA from our equity investments and the portion of EBITDA attributable to noncontrolling interests.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excludes: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Transaction expense, net, which includes: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Acquisition, disposition, and property sale related charges; and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Other transaction expense, including legal, accounting, and other deal-related expense;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Stock-based compensation expense;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Rivers Des Plaines' impact on our investments in unconsolidated affiliates from legal reserves and transaction costs;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Asset impairments, net;</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Gain on property sales;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Legal reserves;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Pre-opening expense; and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Other charges, recoveries and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47445"/>
                <wp:effectExtent l="0" t="0" r="0" b="0"/>
                <wp:wrapNone/>
                <wp:docPr id="23" name="Frame23"/>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before="60" w:after="12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utilize the Adjusted EBITDA metric to provide a more accurate measure of our core operating results and enable management and investors to evaluate and compare from period to period our operating performance in a meaningful and consistent manner. Adjusted EBITDA should not be considered as an alternative to operating income as an indicator of performance, as an alternative to cash flows from operating activities as a measure of liquidity, or as an alternative to any other measure provided in accordance with GAAP. Our calculation of Adjusted EBITDA may be different from the calculation used by other companies and, therefore, comparability may be limited. For segment reporting, Adjusted EBITDA includes intercompany revenue and expense totals that are eliminated in the accompanying Condensed Consolidated Statements of Comprehensive Income.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tables below present net revenue from external customers, Adjusted EBITDA by segment and reconcile net income to Adjusted EBITDA:</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Net revenue by segment is comprised of the following:</w:t>
      </w:r>
    </w:p>
    <w:tbl>
      <w:tblPr>
        <w:tblW w:w="9290" w:type="dxa"/>
        <w:jc w:val="left"/>
        <w:tblInd w:w="0" w:type="dxa"/>
        <w:tblLayout w:type="fixed"/>
        <w:tblCellMar>
          <w:top w:w="28" w:type="dxa"/>
          <w:left w:w="28" w:type="dxa"/>
          <w:bottom w:w="28" w:type="dxa"/>
          <w:right w:w="28" w:type="dxa"/>
        </w:tblCellMar>
      </w:tblPr>
      <w:tblGrid>
        <w:gridCol w:w="1014"/>
        <w:gridCol w:w="891"/>
        <w:gridCol w:w="900"/>
        <w:gridCol w:w="346"/>
        <w:gridCol w:w="765"/>
        <w:gridCol w:w="179"/>
        <w:gridCol w:w="179"/>
        <w:gridCol w:w="179"/>
        <w:gridCol w:w="179"/>
        <w:gridCol w:w="346"/>
        <w:gridCol w:w="765"/>
        <w:gridCol w:w="179"/>
        <w:gridCol w:w="109"/>
        <w:gridCol w:w="109"/>
        <w:gridCol w:w="109"/>
        <w:gridCol w:w="286"/>
        <w:gridCol w:w="836"/>
        <w:gridCol w:w="147"/>
        <w:gridCol w:w="147"/>
        <w:gridCol w:w="147"/>
        <w:gridCol w:w="147"/>
        <w:gridCol w:w="286"/>
        <w:gridCol w:w="836"/>
        <w:gridCol w:w="209"/>
      </w:tblGrid>
      <w:tr>
        <w:trPr/>
        <w:tc>
          <w:tcPr>
            <w:tcW w:w="10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3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4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2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w:t>
            </w:r>
          </w:p>
        </w:tc>
        <w:tc>
          <w:tcPr>
            <w:tcW w:w="3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4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2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before="240" w:after="120"/>
        <w:jc w:val="both"/>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24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47445"/>
                <wp:effectExtent l="0" t="0" r="0" b="0"/>
                <wp:wrapNone/>
                <wp:docPr id="24" name="Frame24"/>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by segment is comprised of the following: </w:t>
      </w:r>
    </w:p>
    <w:tbl>
      <w:tblPr>
        <w:tblW w:w="10205" w:type="dxa"/>
        <w:jc w:val="left"/>
        <w:tblInd w:w="0" w:type="dxa"/>
        <w:tblLayout w:type="fixed"/>
        <w:tblCellMar>
          <w:top w:w="28" w:type="dxa"/>
          <w:left w:w="28" w:type="dxa"/>
          <w:bottom w:w="28" w:type="dxa"/>
          <w:right w:w="28" w:type="dxa"/>
        </w:tblCellMar>
      </w:tblPr>
      <w:tblGrid>
        <w:gridCol w:w="1396"/>
        <w:gridCol w:w="1190"/>
        <w:gridCol w:w="1038"/>
        <w:gridCol w:w="591"/>
        <w:gridCol w:w="1310"/>
        <w:gridCol w:w="310"/>
        <w:gridCol w:w="126"/>
        <w:gridCol w:w="126"/>
        <w:gridCol w:w="126"/>
        <w:gridCol w:w="706"/>
        <w:gridCol w:w="1565"/>
        <w:gridCol w:w="370"/>
        <w:gridCol w:w="126"/>
        <w:gridCol w:w="126"/>
        <w:gridCol w:w="126"/>
        <w:gridCol w:w="246"/>
        <w:gridCol w:w="541"/>
        <w:gridCol w:w="186"/>
      </w:tblGrid>
      <w:tr>
        <w:trPr/>
        <w:tc>
          <w:tcPr>
            <w:tcW w:w="139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2026</w:t>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5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 taxes and purses</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insurance and utilities</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equipment rental and technology costs</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costs</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operating expense</w:t>
            </w:r>
            <w:r>
              <w:rPr>
                <w:rFonts w:ascii="Times New Roman;serif" w:hAnsi="Times New Roman;serif"/>
                <w:b w:val="false"/>
                <w:color w:val="000000"/>
                <w:sz w:val="13"/>
              </w:rPr>
              <w:t>(1)</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unconsolidated affiliates</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5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7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96"/>
        <w:gridCol w:w="1190"/>
        <w:gridCol w:w="1038"/>
        <w:gridCol w:w="591"/>
        <w:gridCol w:w="1310"/>
        <w:gridCol w:w="310"/>
        <w:gridCol w:w="126"/>
        <w:gridCol w:w="126"/>
        <w:gridCol w:w="126"/>
        <w:gridCol w:w="706"/>
        <w:gridCol w:w="1565"/>
        <w:gridCol w:w="370"/>
        <w:gridCol w:w="126"/>
        <w:gridCol w:w="126"/>
        <w:gridCol w:w="126"/>
        <w:gridCol w:w="246"/>
        <w:gridCol w:w="541"/>
        <w:gridCol w:w="186"/>
      </w:tblGrid>
      <w:tr>
        <w:trPr/>
        <w:tc>
          <w:tcPr>
            <w:tcW w:w="139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5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3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 taxes and purses</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insurance and utilities</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equipment rental and technology costs</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costs</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operating expense</w:t>
            </w:r>
            <w:r>
              <w:rPr>
                <w:rFonts w:ascii="Times New Roman;serif" w:hAnsi="Times New Roman;serif"/>
                <w:b w:val="false"/>
                <w:color w:val="000000"/>
                <w:sz w:val="13"/>
              </w:rPr>
              <w:t>(1)</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unconsolidated affiliates</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w:t>
            </w:r>
          </w:p>
        </w:tc>
        <w:tc>
          <w:tcPr>
            <w:tcW w:w="1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5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7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operating expense primarily includes supplies, regulatory licenses and fees, property taxes, and third-party service fees and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47445"/>
                <wp:effectExtent l="0" t="0" r="0" b="0"/>
                <wp:wrapNone/>
                <wp:docPr id="25" name="Frame25"/>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tbl>
      <w:tblPr>
        <w:tblW w:w="10205" w:type="dxa"/>
        <w:jc w:val="center"/>
        <w:tblInd w:w="0" w:type="dxa"/>
        <w:tblLayout w:type="fixed"/>
        <w:tblCellMar>
          <w:top w:w="28" w:type="dxa"/>
          <w:left w:w="28" w:type="dxa"/>
          <w:bottom w:w="28" w:type="dxa"/>
          <w:right w:w="28" w:type="dxa"/>
        </w:tblCellMar>
      </w:tblPr>
      <w:tblGrid>
        <w:gridCol w:w="1411"/>
        <w:gridCol w:w="1208"/>
        <w:gridCol w:w="1054"/>
        <w:gridCol w:w="506"/>
        <w:gridCol w:w="1473"/>
        <w:gridCol w:w="260"/>
        <w:gridCol w:w="117"/>
        <w:gridCol w:w="117"/>
        <w:gridCol w:w="117"/>
        <w:gridCol w:w="716"/>
        <w:gridCol w:w="1587"/>
        <w:gridCol w:w="376"/>
        <w:gridCol w:w="117"/>
        <w:gridCol w:w="117"/>
        <w:gridCol w:w="117"/>
        <w:gridCol w:w="229"/>
        <w:gridCol w:w="505"/>
        <w:gridCol w:w="178"/>
      </w:tblGrid>
      <w:tr>
        <w:trPr/>
        <w:tc>
          <w:tcPr>
            <w:tcW w:w="141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2026</w:t>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5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2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3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 taxes and purses</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insurance and utilities</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equipment rental and technology costs</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costs</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operating expense</w:t>
            </w:r>
            <w:r>
              <w:rPr>
                <w:rFonts w:ascii="Times New Roman;serif" w:hAnsi="Times New Roman;serif"/>
                <w:b w:val="false"/>
                <w:color w:val="000000"/>
                <w:sz w:val="13"/>
              </w:rPr>
              <w:t>(1)</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unconsolidated affiliates</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5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2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7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11"/>
        <w:gridCol w:w="1208"/>
        <w:gridCol w:w="1054"/>
        <w:gridCol w:w="506"/>
        <w:gridCol w:w="1473"/>
        <w:gridCol w:w="260"/>
        <w:gridCol w:w="117"/>
        <w:gridCol w:w="117"/>
        <w:gridCol w:w="117"/>
        <w:gridCol w:w="716"/>
        <w:gridCol w:w="1587"/>
        <w:gridCol w:w="376"/>
        <w:gridCol w:w="117"/>
        <w:gridCol w:w="117"/>
        <w:gridCol w:w="117"/>
        <w:gridCol w:w="229"/>
        <w:gridCol w:w="505"/>
        <w:gridCol w:w="178"/>
      </w:tblGrid>
      <w:tr>
        <w:trPr/>
        <w:tc>
          <w:tcPr>
            <w:tcW w:w="141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5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2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3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 taxes and purses</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insurance and utilities</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equipment rental and technology costs</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costs</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operating expense</w:t>
            </w:r>
            <w:r>
              <w:rPr>
                <w:rFonts w:ascii="Times New Roman;serif" w:hAnsi="Times New Roman;serif"/>
                <w:b w:val="false"/>
                <w:color w:val="000000"/>
                <w:sz w:val="13"/>
              </w:rPr>
              <w:t>(1)</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unconsolidated affiliates</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w:t>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5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2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7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operating expense primarily includes supplies, regulatory licenses and fees, property taxes, and third-party service fees and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47445"/>
                <wp:effectExtent l="0" t="0" r="0" b="0"/>
                <wp:wrapNone/>
                <wp:docPr id="26" name="Frame26"/>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reconciles net income to Adjusted EBITDA: </w:t>
      </w:r>
    </w:p>
    <w:tbl>
      <w:tblPr>
        <w:tblW w:w="10205" w:type="dxa"/>
        <w:jc w:val="center"/>
        <w:tblInd w:w="0" w:type="dxa"/>
        <w:tblLayout w:type="fixed"/>
        <w:tblCellMar>
          <w:top w:w="28" w:type="dxa"/>
          <w:left w:w="28" w:type="dxa"/>
          <w:bottom w:w="28" w:type="dxa"/>
          <w:right w:w="28" w:type="dxa"/>
        </w:tblCellMar>
      </w:tblPr>
      <w:tblGrid>
        <w:gridCol w:w="1629"/>
        <w:gridCol w:w="1432"/>
        <w:gridCol w:w="1449"/>
        <w:gridCol w:w="280"/>
        <w:gridCol w:w="619"/>
        <w:gridCol w:w="144"/>
        <w:gridCol w:w="144"/>
        <w:gridCol w:w="144"/>
        <w:gridCol w:w="144"/>
        <w:gridCol w:w="280"/>
        <w:gridCol w:w="619"/>
        <w:gridCol w:w="144"/>
        <w:gridCol w:w="109"/>
        <w:gridCol w:w="109"/>
        <w:gridCol w:w="109"/>
        <w:gridCol w:w="274"/>
        <w:gridCol w:w="606"/>
        <w:gridCol w:w="141"/>
        <w:gridCol w:w="141"/>
        <w:gridCol w:w="141"/>
        <w:gridCol w:w="141"/>
        <w:gridCol w:w="274"/>
        <w:gridCol w:w="606"/>
        <w:gridCol w:w="141"/>
        <w:gridCol w:w="109"/>
        <w:gridCol w:w="109"/>
        <w:gridCol w:w="167"/>
      </w:tblGrid>
      <w:tr>
        <w:trPr/>
        <w:tc>
          <w:tcPr>
            <w:tcW w:w="16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Net Income to Adjusted EBITDA:</w:t>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Churchill Downs Incorporated</w:t>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8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provision </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85" w:type="dxa"/>
            <w:gridSpan w:val="3"/>
            <w:tcBorders/>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85" w:type="dxa"/>
            <w:gridSpan w:val="3"/>
            <w:tcBorders/>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net</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net</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 net</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depreciation and amortization expense related to equity investments</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85" w:type="dxa"/>
            <w:gridSpan w:val="3"/>
            <w:tcBorders/>
            <w:vAlign w:val="center"/>
          </w:tcPr>
          <w:p>
            <w:pPr>
              <w:pStyle w:val="TableContents"/>
              <w:bidi w:val="0"/>
              <w:spacing w:before="0" w:after="283"/>
              <w:jc w:val="left"/>
              <w:rPr>
                <w:sz w:val="4"/>
                <w:szCs w:val="4"/>
              </w:rPr>
            </w:pPr>
            <w:r>
              <w:rPr>
                <w:sz w:val="4"/>
                <w:szCs w:val="4"/>
              </w:rPr>
            </w:r>
          </w:p>
        </w:tc>
      </w:tr>
      <w:tr>
        <w:trPr/>
        <w:tc>
          <w:tcPr>
            <w:tcW w:w="451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85" w:type="dxa"/>
            <w:gridSpan w:val="3"/>
            <w:tcBorders/>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recoveries, net</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85" w:type="dxa"/>
            <w:gridSpan w:val="3"/>
            <w:tcBorders/>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8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by segment:</w:t>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EBITDA</w:t>
            </w:r>
          </w:p>
        </w:tc>
        <w:tc>
          <w:tcPr>
            <w:tcW w:w="8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Adjusted EBITDA</w:t>
            </w:r>
          </w:p>
        </w:tc>
        <w:tc>
          <w:tcPr>
            <w:tcW w:w="2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both"/>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table below presents total capital expenditures for each of our segments:</w:t>
      </w:r>
    </w:p>
    <w:tbl>
      <w:tblPr>
        <w:tblW w:w="5815" w:type="dxa"/>
        <w:jc w:val="left"/>
        <w:tblInd w:w="0" w:type="dxa"/>
        <w:tblLayout w:type="fixed"/>
        <w:tblCellMar>
          <w:top w:w="28" w:type="dxa"/>
          <w:left w:w="28" w:type="dxa"/>
          <w:bottom w:w="28" w:type="dxa"/>
          <w:right w:w="28" w:type="dxa"/>
        </w:tblCellMar>
      </w:tblPr>
      <w:tblGrid>
        <w:gridCol w:w="1073"/>
        <w:gridCol w:w="943"/>
        <w:gridCol w:w="954"/>
        <w:gridCol w:w="309"/>
        <w:gridCol w:w="683"/>
        <w:gridCol w:w="159"/>
        <w:gridCol w:w="159"/>
        <w:gridCol w:w="159"/>
        <w:gridCol w:w="159"/>
        <w:gridCol w:w="309"/>
        <w:gridCol w:w="683"/>
        <w:gridCol w:w="225"/>
      </w:tblGrid>
      <w:tr>
        <w:trPr/>
        <w:tc>
          <w:tcPr>
            <w:tcW w:w="107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capital expenditures</w:t>
            </w:r>
          </w:p>
        </w:tc>
        <w:tc>
          <w:tcPr>
            <w:tcW w:w="9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 expenditures</w:t>
            </w:r>
          </w:p>
        </w:tc>
        <w:tc>
          <w:tcPr>
            <w:tcW w:w="3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47445"/>
                <wp:effectExtent l="0" t="0" r="0" b="0"/>
                <wp:wrapNone/>
                <wp:docPr id="27" name="Frame27"/>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does not review disaggregated assets by segment. The measure of segment assets is reported on the balance sheet as total consolidated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17. SUBSEQUENT EVENTS</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27, 2026, the Board of Directors of the Company declared an annual cash dividend on the Company's common stock of $0.469 per outstanding share, to be paid on January 5, 2027, to shareholders of record as of the close of business on December 4, 2026, with the aggregate cash dividend to be paid to each shareholder rounded to the nearest whole cent. </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27, 2026, the Board of Directors of the Company approved a common stock repurchase program of up to $750 million (the "October 2026 Stock Repurchase Program"). The October 2026 Stock Repurchase Program includes and is not in addition to the $306 million remaining under the prior July 2025 Stock Repurchase Program as of the closing of trading on October 27, 2026. </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On October 19, 2026, the Company redeemed the 2027 Senior Notes with borrowings from the 2031 Revolver.</w:t>
      </w:r>
    </w:p>
    <w:p>
      <w:pPr>
        <w:pStyle w:val="TextBody"/>
        <w:bidi w:val="0"/>
        <w:spacing w:before="120" w:after="180"/>
        <w:jc w:val="both"/>
        <w:rPr/>
      </w:pPr>
      <w:r>
        <w:rPr/>
      </w:r>
    </w:p>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47445"/>
                <wp:effectExtent l="0" t="0" r="0" b="0"/>
                <wp:wrapNone/>
                <wp:docPr id="28" name="Frame28"/>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ind w:left="0" w:right="0" w:hanging="1035"/>
        <w:jc w:val="both"/>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This report contains various "forward-looking statements" within the meaning of the Private Securities Litigation Reform Act of 1995 (the "Act"), which provides certain "safe harbor" provisions for forward-looking statements. All forward-looking statements made in this report are made pursuant to the Act. The reader is cautioned that such forward-looking statements are based on information available at the time and / or management’s good faith belief with respect to future events and are subject to risks and uncertainties that could cause actual performance or results to differ materially from those expressed in the statements. Forward-looking statements speak only as of the date that the statement was made. We assume no obligation to update forward-looking information to reflect actual results, changes in assumptions or changes in other factors affecting forward-looking information. Forward-looking statements are typically identified by the use of terms such as "anticipate," "believe," "could," "estimate," "expect," "intend," "may," "might," "plan," "predict," "project," "seek," "should," "will," "scheduled," and similar words or similar expressions (or negative versions of such words or expressions), although some forward-looking statements are expressed differently.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believe that the expectations reflected in such forward-looking statements are reasonable, we can give no assurance that such expectations will prove to be correct. Important factors that could cause actual results to differ materially from expectations include the following: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the occurrence of extraordinary events, such as terrorist attacks, public health threats, civil unrest, and inclement weather, including as a result of climate change;</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the effect of economic conditions on our consumers' confidence and discretionary spending or our access to credit, including the impact of inflation;</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changes in, or new interpretations of, applicable tax laws or rulings that could result in additional tax liabilities;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the impact of any pandemics, epidemics, or outbreaks of infectious diseases, and related economic matters on our results of operations, financial conditions, and prospects;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lack of confidence in the integrity of our core businesses or any deterioration in our reputation;</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negative shifts in public opinion regarding gambling that could result in increased regulation of, or new restrictions on, the gaming industry;</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loss of key or highly skilled personnel, as well as general disruptions in the general labor market;</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the impact of significant competition, and the expectation that competition levels will increase;</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changes in consumer preferences, attendance, wagering, and sponsorships;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risks associated with equity investments, strategic alliances, and other third-party agreements;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inability to respond to rapid technological changes in a timely manner;</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concentration and evolution of slot machine and historical racing machine ("HRM") manufacturing and other technology conditions that could impose additional costs;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failure to enter into or maintain agreements with industry constituents, including horsemen and other racetracks;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 xml:space="preserve">cybersecurity risk, including cybersecurity breaches, loss or misuse of our confidential information as a result of a breach including customers’ personal information, or IT system operational disruptions, could lead to government enforcement actions or other litigation;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costs of compliance with increasingly complex laws and regulations regarding data privacy and protection of personal information;</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 xml:space="preserve">reliance on our technology services and catastrophic events, system failures, errors or defects disrupting our operations;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inability to identify, complete, or fully realize the benefits of, our proposed acquisitions, divestitures, development of new venues or the expansion of existing facilities on time, on budget, or as planned;</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difficulty in integrating recent or future acquisitions into our operations;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cost overruns and other uncertainties associated with the development of new venues and the expansion of existing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47445"/>
                <wp:effectExtent l="0" t="0" r="0" b="0"/>
                <wp:wrapNone/>
                <wp:docPr id="29" name="Frame29"/>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general risks related to real estate ownership and significant expenditures, including risks related to environmental liabilities;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personal injury litigation related to injuries occurring at our racetracks;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compliance with the Foreign Corrupt Practices Act or other similar laws and regulations, or applicable anti-money laundering regulations;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payment-related risks, such as risk associated with fraudulent credit card or debit card use;</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work stoppages and labor problems;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risks related to pending or future legal proceedings and other actions;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highly regulated operations and changes in the regulatory environment could adversely affect our business;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restrictions in our debt facilities limiting our flexibility to operate our business;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 xml:space="preserve">failure to comply with the financial ratios and other covenants in our debt facilities and other indebtedness;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 xml:space="preserve">increases to interest rates, disruption in the credit markets or changes to our credit ratings may adversely affect our business;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 xml:space="preserve">increase in our insurance costs, or inability to obtain similar insurance coverage in the future, and any inability to recover under our insurance policies for damages sustained at our properties in the event of inclement weather and casualty events;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whether the objective of a strategic alternative review process will be achieved; the terms, structure, benefits and costs of any strategic transaction; the timing of any strategic transaction and whether any strategic transaction will be consummated on the terms proposed or at all; the risk that the announcement or exploration of strategic alternatives could have an adverse effect on our ability to retain key personnel and maintain relationships with partners, suppliers, employees, shareholders and other business relationships; the risk of any unexpected costs or expenses resulting from the exploration of strategic alternatives; the risk of any litigation relating to the exploration of strategic alternatives or any strategic transaction; and</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other factors described under the heading "Risk Factors" in our most recent Annual Report on Form 10-K and in other filings we make with the Securities and Exchange Commission.</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undertake any obligation to update or revise any forward-looking statements, whether as a result of new information, future events or otherwise, except as required by law. </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The following information is unaudited. Tabular dollars are in millions, except per share amounts. All per share amounts assume dilution unless otherwise noted. This report should be read in conjunction with our Annual Report on Form 10-K for the year ended December 31, 2025, including Part I - Item 1A, "Risk Factors" of our Form 10-K for a discussion regarding some of the reasons that actual results may be materially different from those we anticipate.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47445"/>
                <wp:effectExtent l="0" t="0" r="0" b="0"/>
                <wp:wrapNone/>
                <wp:docPr id="30" name="Frame30"/>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Churchill Downs Incorporated ("CDI" or the "Company") has been creating extraordinary entertainment experiences for over 150 years, beginning with the Company’s most iconic and enduring asset, the Kentucky Derby. Headquartered in Louisville, Kentucky, CDI has expanded through the development of live and historical racing entertainment venues, the growth of the horse racing online wagering business, expanded pari-mutuel content and technology services to B2C platforms, and the operation and development of regional casino gaming properties.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our business through three reportable segments: Live and Historical Racing, Wagering Services and Solutions, and Gaming. We aggregate our other businesses as well as certain corporate operations in All Other.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announced on July 29, 2026 that it is exploring a sale of nine wholly owned regional gaming properties as part of a comprehensive review of the Company’s operational portfolio and long-term capital allocation priorities. These assets represent $280 to $300 million of annual Adjusted EBITDA, which is inclusive of retail sportsbook and market access reported within the Wagering Services and Solutions segment. </w:t>
      </w:r>
    </w:p>
    <w:p>
      <w:pPr>
        <w:pStyle w:val="TextBody"/>
        <w:bidi w:val="0"/>
        <w:spacing w:before="0" w:after="0"/>
        <w:jc w:val="both"/>
        <w:rPr/>
      </w:pPr>
      <w:r>
        <w:rPr/>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Key Indicators to Evaluate Business Results and Financial Condition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management monitors a variety of key indicators to evaluate our business results and financial condition. These indicators include changes in net revenue, operating expense, operating income, earnings per share, outstanding debt balance, operating cash flow, and capital spend.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have been prepared in conformity with U.S. generally accepted accounting principles ("GAAP"). We also use non-GAAP measures, including EBITDA (earnings before interest, taxes, depreciation and amortization) and Adjusted EBITDA. We believe that the use of Adjusted EBITDA as a key performance measure of results of operations enables management and investors to evaluate and compare from period to period our operating performance in a meaningful and consistent manner. Our chief operating decision maker utilizes Adjusted EBITDA to evaluate segment performance, develop strategy, and allocate resources. Adjusted EBITDA is a supplemental measure of our performance that is not required by, or presented in accordance with, GAAP. Adjusted EBITDA should not be considered as an alternative to, or more meaningful than, net income (as determined in accordance with GAAP) as a measure of our operating results.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Adjusted EBITDA is defined as earnings before interest, taxes, depreciation and amortization, adjusted for the following: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Adjusted EBITDA includes our portion of EBITDA from our equity investments and the portion of EBITDA attributable to noncontrolling interests.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excludes: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Transaction expense, net, which includes: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Acquisition, disposition, and property sale related charges; and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Other transaction expense, including legal, accounting, and other deal-related expense;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Stock-based compensation expense;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Rivers Des Plaines' impact on our investments in unconsolidated affiliates from legal reserves and transaction costs;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Asset impairments, net;</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Gain on property sales;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Legal reserves;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Pre-opening expense; and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Other charges, recoveries and expenses.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For segment reporting, Adjusted EBITDA includes intercompany revenue and expense totals that are eliminated in the Condensed Consolidated Statements of Comprehensive Income. See the Reconciliation of Net Income to Adjusted EBITDA included in this section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47445"/>
                <wp:effectExtent l="0" t="0" r="0" b="0"/>
                <wp:wrapNone/>
                <wp:docPr id="31" name="Frame31"/>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Governmental Regulations and Legislative Changes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various federal, state, and international laws and regulations that affect our businesses. The ownership, operation, and management of our Live and Historical Racing, Wagering Services and Solutions, and Gaming segments, as well as our other operations, are subject to regulation under the laws and regulations of each of the jurisdictions in which we operate. The ownership, operation, and management of our businesses and properties are also subject to legislative actions at both the federal and state level. The following update on our regulatory and legislative actions should be read in conjunction with our Annual Report on Form 10-K for the year ended December 31, 2025, including Part I - Item 1, "Business" for a discussion of regulatory and legislative changes.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Specific State Gaming Regulations </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Louisiana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Louisiana, the 2021 Historical Horse Racing Act (the "2021 HHR Act") allows off-track betting facilities ("OTBs") to have up to 50 HRMs in each OTB. The Company installed approximately 500 HRMs across our 13 OTBs after the 2021 HHR Act was approved. On October 25, 2022, a number of individual plaintiffs associated with video poker and truck stops, filed a lawsuit in the 19th Judicial District Court in East Baton Rouge, Louisiana, against certain racetracks in Louisiana, including our Fair Grounds Race Course and Slots business, alleging that the 2021 HHR Act was unconstitutional to the extent it purports to permit historical racing in a parish without a referendum.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February 23, 2024, the judge issued a ruling in favor of plaintiffs granting summary judgment stating that: (i) historical horseracing is a new form of gaming not specifically authorized by law prior to 1996; (ii) historical horseracing may not be conducted in any parish of the state unless voters approve it through referendum; and (iii) the 2021 HHR Act that authorized historical horseracing is unconstitutional. The Louisiana Supreme Court opinion affirming the ruling of the District Court became final and enforceable May 8, 2025. The Company discontinued its HRM operations in Louisiana on May 8, 2025 and moved the HRMs in the Louisiana OTBs to other HRM venues, primarily located in Virginia. The reduction in revenues resulting from the removal of the HRMs from our OTBs in Louisiana has negatively impacted the comparability of the 2026 Louisiana results to the prior year. The results of the HRMs in Louisiana operations were reported in our Gaming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 xml:space="preserve">Consolidated Financial Results </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our net revenue, operating income, net income attributable to Churchill Downs Incorporated, Adjusted EBITDA, and certain other financial information:</w:t>
      </w:r>
    </w:p>
    <w:tbl>
      <w:tblPr>
        <w:tblW w:w="10205" w:type="dxa"/>
        <w:jc w:val="left"/>
        <w:tblInd w:w="0" w:type="dxa"/>
        <w:tblLayout w:type="fixed"/>
        <w:tblCellMar>
          <w:top w:w="28" w:type="dxa"/>
          <w:left w:w="28" w:type="dxa"/>
          <w:bottom w:w="28" w:type="dxa"/>
          <w:right w:w="28" w:type="dxa"/>
        </w:tblCellMar>
      </w:tblPr>
      <w:tblGrid>
        <w:gridCol w:w="1157"/>
        <w:gridCol w:w="902"/>
        <w:gridCol w:w="852"/>
        <w:gridCol w:w="320"/>
        <w:gridCol w:w="186"/>
        <w:gridCol w:w="412"/>
        <w:gridCol w:w="165"/>
        <w:gridCol w:w="165"/>
        <w:gridCol w:w="165"/>
        <w:gridCol w:w="320"/>
        <w:gridCol w:w="186"/>
        <w:gridCol w:w="412"/>
        <w:gridCol w:w="109"/>
        <w:gridCol w:w="109"/>
        <w:gridCol w:w="109"/>
        <w:gridCol w:w="232"/>
        <w:gridCol w:w="398"/>
        <w:gridCol w:w="121"/>
        <w:gridCol w:w="109"/>
        <w:gridCol w:w="109"/>
        <w:gridCol w:w="109"/>
        <w:gridCol w:w="312"/>
        <w:gridCol w:w="216"/>
        <w:gridCol w:w="444"/>
        <w:gridCol w:w="161"/>
        <w:gridCol w:w="161"/>
        <w:gridCol w:w="161"/>
        <w:gridCol w:w="312"/>
        <w:gridCol w:w="216"/>
        <w:gridCol w:w="444"/>
        <w:gridCol w:w="109"/>
        <w:gridCol w:w="109"/>
        <w:gridCol w:w="109"/>
        <w:gridCol w:w="231"/>
        <w:gridCol w:w="395"/>
        <w:gridCol w:w="178"/>
      </w:tblGrid>
      <w:tr>
        <w:trPr/>
        <w:tc>
          <w:tcPr>
            <w:tcW w:w="115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margin</w:t>
            </w:r>
          </w:p>
        </w:tc>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Churchill Downs Incorporated</w:t>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rFonts w:ascii="Times New Roman;serif" w:hAnsi="Times New Roman;serif"/>
          <w:b/>
          <w:i/>
          <w:color w:val="000000"/>
          <w:sz w:val="20"/>
        </w:rPr>
      </w:pPr>
      <w:r>
        <w:rPr>
          <w:rFonts w:ascii="Times New Roman;serif" w:hAnsi="Times New Roman;serif"/>
          <w:b/>
          <w:i/>
          <w:color w:val="000000"/>
          <w:sz w:val="20"/>
        </w:rPr>
        <w:t>Three Months Ended September 30, 2026, Compared to Three Months Ended September 30, 2025</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Net revenue increased $13 million driven by an $8 million increase from the Live and Historical Racing segment, a $2 million decrease from the Wagering Services and Solutions segment, and a $7 million increase from the Gaming segment.</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Operating income increased $45 million driven by a $4 million increase from the Gaming segment, a $46 million increase attributable to the non-cash net impairment of the Chasers' gaming rights that did not recur in the current period, and a $3 million reduction in operating costs from the All Other segment. These increases to operating income were offset by a $3 million decrease from the Live and Historical Racing segment, a $1 million decrease from the Wagering Services and Solutions segment, a $1 million increase in selling, general and administrative expense, and a $3 million increase in transaction costs.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Net income attributable to Churchill Downs Incorporated increased $42 million. The following impacted the comparability of the Company's net income for the three months ended September 30, 2026 compared to the three months ended September 30, 2025: a $35 million after-tax impairment charge in the prior year quarter related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47445"/>
                <wp:effectExtent l="0" t="0" r="0" b="0"/>
                <wp:wrapNone/>
                <wp:docPr id="32" name="Frame32"/>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impairment of the Chasers' gaming rights, offset by a $2 million after-tax increase in other charges and recoveries, net. Excluding these items, net income increased $9 million due to a $4 million after-tax increase in equity income from our unconsolidated affiliates, a $3 million after-tax increase primarily driven by the results of our operations, a $1 million after-tax decrease in interest expense, and a $1 million after-tax decrease of the portion of the Company's income from United Tote and our facility in New Hampshire being recognized as income attributable to a noncontrolling interest.</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Adjusted EBITDA increased $2 million driven by a $2 million increase from the Wagering Services and Solutions segment and a $5 million increase from the Gaming segment. These increases were partially offset by a $5 million decrease from the Live and Historical Racing segment.</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Nine Months Ended September 30, 2026, Compared to Nine Months Ended September 30, 2025</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Net revenue increased $79 million driven by a $65 million increase from the Live and Historical Racing segment primarily due to a record-breaking Derby Week at Churchill Downs Racetrack, and a $9 million increase from the Wagering Services and Solutions segment, and a $5 million increase from the Gaming segment.</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Operating income increased $83 million driven by a $33 million increase from the Live and Historical Racing segment primarily due to a record-breaking Derby Week at Churchill Downs Racetrack, a $4 million increase from the Wagering Services and Solutions segment, a $5 million increase from the Gaming segment, a $1 million reduction in operating costs from the All Other segment, and a $48 million increase attributable to the non-cash net impairment charge of Virginia HRMs and the Chasers' gaming rights that did not recur in the current period. These increases were offset by a $5 million increase in selling, general and administrative expenses and a $3 million increase in transaction costs.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Net income attributable to Churchill Downs Incorporated increased $72 million. The following impacted the comparability of the Company's net income for the nine months ended September 30, 2026 compared to the nine months ended September 30, 2025: a $36 million after-tax decrease primarily related to an impairment charge of the Chasers' gaming rights in 2025, a $3 million after-tax decrease in transaction, pre-opening, and other expenses, and a $2 million after-tax decrease in other charges and recoveries, net. Excluding these items, net income increased $31 million due to a $16 million after-tax increase primarily driven by the results of our operations, a $9 million after-tax increase in equity income from our unconsolidated affiliates, a $5 million after-tax decrease in interest expense, and a $1 million after-tax decrease of the portion of the Company's income from United Tote and our facility in New Hampshire being recognized as income attributable to a noncontrolling interest.</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Adjusted EBITDA increased $40 million driven by a $27 million increase from the Live and Historical Racing segment primarily due to a record-breaking Derby Week at Churchill Downs Racetrack, a $10 million increase from the Wagering Services and Solutions segment, and a $10 million increase from the Gaming segment. These increases were partially offset by a $7 million decrease from All Other.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both"/>
        <w:rPr>
          <w:rFonts w:ascii="Times New Roman;serif" w:hAnsi="Times New Roman;serif"/>
          <w:b/>
          <w:color w:val="000000"/>
          <w:sz w:val="20"/>
        </w:rPr>
      </w:pPr>
      <w:r>
        <w:rPr>
          <w:rFonts w:ascii="Times New Roman;serif" w:hAnsi="Times New Roman;serif"/>
          <w:b/>
          <w:color w:val="000000"/>
          <w:sz w:val="20"/>
        </w:rPr>
        <w:t xml:space="preserve">Revenue by Segment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net revenue for our segments, including intercompany revenue:</w:t>
      </w:r>
    </w:p>
    <w:tbl>
      <w:tblPr>
        <w:tblW w:w="10205" w:type="dxa"/>
        <w:jc w:val="left"/>
        <w:tblInd w:w="0" w:type="dxa"/>
        <w:tblLayout w:type="fixed"/>
        <w:tblCellMar>
          <w:top w:w="28" w:type="dxa"/>
          <w:left w:w="28" w:type="dxa"/>
          <w:bottom w:w="28" w:type="dxa"/>
          <w:right w:w="28" w:type="dxa"/>
        </w:tblCellMar>
      </w:tblPr>
      <w:tblGrid>
        <w:gridCol w:w="874"/>
        <w:gridCol w:w="691"/>
        <w:gridCol w:w="683"/>
        <w:gridCol w:w="300"/>
        <w:gridCol w:w="663"/>
        <w:gridCol w:w="155"/>
        <w:gridCol w:w="155"/>
        <w:gridCol w:w="155"/>
        <w:gridCol w:w="155"/>
        <w:gridCol w:w="300"/>
        <w:gridCol w:w="663"/>
        <w:gridCol w:w="155"/>
        <w:gridCol w:w="109"/>
        <w:gridCol w:w="109"/>
        <w:gridCol w:w="109"/>
        <w:gridCol w:w="232"/>
        <w:gridCol w:w="398"/>
        <w:gridCol w:w="121"/>
        <w:gridCol w:w="109"/>
        <w:gridCol w:w="109"/>
        <w:gridCol w:w="109"/>
        <w:gridCol w:w="261"/>
        <w:gridCol w:w="763"/>
        <w:gridCol w:w="134"/>
        <w:gridCol w:w="134"/>
        <w:gridCol w:w="134"/>
        <w:gridCol w:w="134"/>
        <w:gridCol w:w="261"/>
        <w:gridCol w:w="763"/>
        <w:gridCol w:w="134"/>
        <w:gridCol w:w="109"/>
        <w:gridCol w:w="109"/>
        <w:gridCol w:w="109"/>
        <w:gridCol w:w="231"/>
        <w:gridCol w:w="395"/>
        <w:gridCol w:w="180"/>
      </w:tblGrid>
      <w:tr>
        <w:trPr/>
        <w:tc>
          <w:tcPr>
            <w:tcW w:w="87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3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3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3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w:t>
            </w:r>
          </w:p>
        </w:tc>
        <w:tc>
          <w:tcPr>
            <w:tcW w:w="30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Three Months Ended September 30, 2026, Compared to Three Months Ended September 30, 2025</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Live and Historical Racing revenue increased $10 million due to an $11 million increase from our Kentucky HRM venues and a $1 million increase from Churchill Downs Racetrack, partially offset by a $1 million decrease from our Virginia HRM venues and a $1 million decrease from our New Hampshire venues. The Kentucky HRM increase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47445"/>
                <wp:effectExtent l="0" t="0" r="0" b="0"/>
                <wp:wrapNone/>
                <wp:docPr id="33" name="Frame33"/>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due to a $7 million increase from our Southwestern Kentucky venues, a $2 million increase from our Northern Kentucky venues, a $1 million increase from our Western Kentucky venues, and a $1 million increase from our Louisville venues. The Virginia HRM decrease was due to a $6 million net decrease from our Central Virginia venues primarily from increased competition, partially offset by a $4 million net increase from our Northern Virginia venues and a $1 million increase at our Western Virginia venue. The New Hampshire decrease was due to the closure of our temporary Casino Salem venue during the construction of our new Rockingham Grand Casino venue.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Wagering Services and Solutions revenue decreased $1 million due to a decrease from our sports betting business.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Gaming revenue increased $7 million</w:t>
      </w:r>
      <w:r>
        <w:rPr>
          <w:color w:val="000000"/>
        </w:rPr>
        <w:t xml:space="preserve"> </w:t>
      </w:r>
      <w:r>
        <w:rPr>
          <w:rFonts w:ascii="Times New Roman;serif" w:hAnsi="Times New Roman;serif"/>
          <w:b w:val="false"/>
          <w:color w:val="000000"/>
          <w:sz w:val="20"/>
        </w:rPr>
        <w:t>primarily due to increases from our wholly-owned New York, Pennsylvania, and Maine properties.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All Other revenue is consistent with the prior year. All intercompany captive revenue is eliminated in consolidation.</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Nine Months Ended September 30, 2026, Compared to Nine Months Ended September 30, 2025</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Live and Historical Racing revenue increased $68 million due to a $20 million increase from Churchill Downs Racetrack, a $41 million increase from our Kentucky HRM venues, a $5 million net increase from our Virginia HRM venues, and a $2 million increase primarily from New Hampshire venues. The Churchill Downs Racetrack increase was primarily due to a record-breaking Derby Week, including increased NBC broadcast revenue, increased ticketing revenue, increased sponsorship and licensing revenue, and increased wagering revenue. The Kentucky HRM increase was primarily due to a $16 million increase from our Southwestern Kentucky venues, a $10 million increase from our Western Kentucky venues, a $10 million increase from our Northern Kentucky venues, and a $5 million increase from our Louisville venues. The Virginia HRM increase was primarily due to a $14 million net increase from our Northern Virginia venues and a $2 million increase from our Western Virginia venue, partially offset by a net $11 million decrease from Central Virginia venues primarily from increased competition.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Wagering Services and Solutions revenue increased $11 million due to $10 million growth in our Horse Racing business primarily from record-breaking Derby Week wagering and a $1 million increase in our retail and online sportsbooks.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Gaming revenue increased $6 million primarily due to a $22 million increase in our New York, Indiana, Maryland, Pennsylvania and Maine properties, partially offset by a $16 million net decrease from our Louisiana, Florida, and Mississippi properties primarily from the cessation of HRM operations in Louisiana in May 2025.</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All Other revenue is consistent with the prior year. All intercompany captive revenue is eliminated in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Consolidated Operating Expense</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our consolidated operating expense:</w:t>
      </w:r>
    </w:p>
    <w:tbl>
      <w:tblPr>
        <w:tblW w:w="10205" w:type="dxa"/>
        <w:jc w:val="left"/>
        <w:tblInd w:w="0" w:type="dxa"/>
        <w:tblLayout w:type="fixed"/>
        <w:tblCellMar>
          <w:top w:w="28" w:type="dxa"/>
          <w:left w:w="28" w:type="dxa"/>
          <w:bottom w:w="28" w:type="dxa"/>
          <w:right w:w="28" w:type="dxa"/>
        </w:tblCellMar>
      </w:tblPr>
      <w:tblGrid>
        <w:gridCol w:w="1058"/>
        <w:gridCol w:w="754"/>
        <w:gridCol w:w="713"/>
        <w:gridCol w:w="436"/>
        <w:gridCol w:w="287"/>
        <w:gridCol w:w="213"/>
        <w:gridCol w:w="201"/>
        <w:gridCol w:w="201"/>
        <w:gridCol w:w="201"/>
        <w:gridCol w:w="436"/>
        <w:gridCol w:w="287"/>
        <w:gridCol w:w="213"/>
        <w:gridCol w:w="109"/>
        <w:gridCol w:w="109"/>
        <w:gridCol w:w="109"/>
        <w:gridCol w:w="211"/>
        <w:gridCol w:w="433"/>
        <w:gridCol w:w="109"/>
        <w:gridCol w:w="109"/>
        <w:gridCol w:w="109"/>
        <w:gridCol w:w="109"/>
        <w:gridCol w:w="426"/>
        <w:gridCol w:w="374"/>
        <w:gridCol w:w="238"/>
        <w:gridCol w:w="196"/>
        <w:gridCol w:w="196"/>
        <w:gridCol w:w="196"/>
        <w:gridCol w:w="426"/>
        <w:gridCol w:w="374"/>
        <w:gridCol w:w="238"/>
        <w:gridCol w:w="109"/>
        <w:gridCol w:w="109"/>
        <w:gridCol w:w="109"/>
        <w:gridCol w:w="231"/>
        <w:gridCol w:w="395"/>
        <w:gridCol w:w="181"/>
      </w:tblGrid>
      <w:tr>
        <w:trPr/>
        <w:tc>
          <w:tcPr>
            <w:tcW w:w="10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 and purses</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insurance and utilities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other taxes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 net</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net</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w:t>
            </w:r>
          </w:p>
        </w:tc>
        <w:tc>
          <w:tcPr>
            <w:tcW w:w="4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47445"/>
                <wp:effectExtent l="0" t="0" r="0" b="0"/>
                <wp:wrapNone/>
                <wp:docPr id="34" name="Frame34"/>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60"/>
        <w:jc w:val="left"/>
        <w:rPr>
          <w:rFonts w:ascii="Times New Roman;serif" w:hAnsi="Times New Roman;serif"/>
          <w:b/>
          <w:i/>
          <w:color w:val="000000"/>
          <w:sz w:val="20"/>
        </w:rPr>
      </w:pPr>
      <w:r>
        <w:rPr>
          <w:rFonts w:ascii="Times New Roman;serif" w:hAnsi="Times New Roman;serif"/>
          <w:b/>
          <w:i/>
          <w:color w:val="000000"/>
          <w:sz w:val="20"/>
        </w:rPr>
        <w:t xml:space="preserve">Three and Nine Months Ended September 30, 2026, Compared to Three and Nine Months Ended September 30, 2025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Operating expenses decreased $32 million and $4 million for the three and nine months ended September 30, 2026 compared to September 30, 2025 primarily due to the asset impairments recognized in 2025 related to the write-off of HRMs in Virginia that were no longer in use and the impairment of the gaming rights for Chasers that did not recur in 2026. Offsetting the reduction in impairment charges are increased gaming taxes resulting from increased revenues. The remaining offsetting increases in operating expenses are primarily driven by normal inflationary activity resulting in increased operational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believe that the use of Adjusted EBITDA as a key performance measure of the results of operations enables management and investors to evaluate and compare from period to period our operating performance in a meaningful and consistent manner. Adjusted EBITDA is a supplemental measure of our performance that is not required by or presented in accordance with GAAP. Adjusted EBITDA should not be considered as an alternative to operating income as an indicator of performance, as an alternative to cash flows from operating activities as a measure of liquidity, or as an alternative to any other measure provided in accordance with GAAP.</w:t>
      </w:r>
    </w:p>
    <w:tbl>
      <w:tblPr>
        <w:tblW w:w="10205" w:type="dxa"/>
        <w:jc w:val="left"/>
        <w:tblInd w:w="0" w:type="dxa"/>
        <w:tblLayout w:type="fixed"/>
        <w:tblCellMar>
          <w:top w:w="28" w:type="dxa"/>
          <w:left w:w="28" w:type="dxa"/>
          <w:bottom w:w="28" w:type="dxa"/>
          <w:right w:w="28" w:type="dxa"/>
        </w:tblCellMar>
      </w:tblPr>
      <w:tblGrid>
        <w:gridCol w:w="821"/>
        <w:gridCol w:w="721"/>
        <w:gridCol w:w="715"/>
        <w:gridCol w:w="305"/>
        <w:gridCol w:w="675"/>
        <w:gridCol w:w="157"/>
        <w:gridCol w:w="157"/>
        <w:gridCol w:w="157"/>
        <w:gridCol w:w="157"/>
        <w:gridCol w:w="305"/>
        <w:gridCol w:w="675"/>
        <w:gridCol w:w="157"/>
        <w:gridCol w:w="109"/>
        <w:gridCol w:w="109"/>
        <w:gridCol w:w="109"/>
        <w:gridCol w:w="268"/>
        <w:gridCol w:w="344"/>
        <w:gridCol w:w="139"/>
        <w:gridCol w:w="109"/>
        <w:gridCol w:w="109"/>
        <w:gridCol w:w="109"/>
        <w:gridCol w:w="296"/>
        <w:gridCol w:w="654"/>
        <w:gridCol w:w="153"/>
        <w:gridCol w:w="153"/>
        <w:gridCol w:w="153"/>
        <w:gridCol w:w="153"/>
        <w:gridCol w:w="296"/>
        <w:gridCol w:w="654"/>
        <w:gridCol w:w="153"/>
        <w:gridCol w:w="109"/>
        <w:gridCol w:w="109"/>
        <w:gridCol w:w="109"/>
        <w:gridCol w:w="231"/>
        <w:gridCol w:w="395"/>
        <w:gridCol w:w="180"/>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3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5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EBITDA</w:t>
            </w:r>
          </w:p>
        </w:tc>
        <w:tc>
          <w:tcPr>
            <w:tcW w:w="9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5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Adjusted EBITDA</w:t>
            </w:r>
          </w:p>
        </w:tc>
        <w:tc>
          <w:tcPr>
            <w:tcW w:w="30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Times New Roman;serif" w:hAnsi="Times New Roman;serif"/>
          <w:b/>
          <w:i/>
          <w:color w:val="000000"/>
          <w:sz w:val="20"/>
        </w:rPr>
      </w:pPr>
      <w:r>
        <w:rPr>
          <w:rFonts w:ascii="Times New Roman;serif" w:hAnsi="Times New Roman;serif"/>
          <w:b/>
          <w:i/>
          <w:color w:val="000000"/>
          <w:sz w:val="20"/>
        </w:rPr>
        <w:t>Three Months Ended September 30, 2026, Compared to Three Months Ended September 30, 2025</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Live and Historical Racing Adjusted EBITDA decreased $5 million due to a $6 million decrease from our Virginia HRM venues, a $4 million decrease due to a one-time business interruption insurance recovery received in the prior year quarter for our Northern Virginia venue, and a $1 million decrease at our New Hampshire venues, partially offset by a $6 million increase from our Kentucky HRM venues. The Virginia HRM decrease was primarily due to a $10 million decrease from our Central Virginia venues that was partially offset by a $3 million increase from our Northern Virginia venue and a $1 million net increase from our Western Virginia and Southern Virginia venues. The decrease from our Central Virginia venues was primarily due to increased competition and a $5 million new tax expense related to live race days under the new racing and HRM tax structure that became effective July 1, 2026. Our Virginia HRM venues continue to benefit from a statewide HRM handle tax reduction that became effective July 1, 2025 as part of this new tax structure. The New Hampshire decrease was due to the closure of our temporary Casino Salem venue during the construction of our Rockingham Grand Casino venue. The Kentucky HRM increase was due to a $3 million increase from our Southwestern Kentucky venues, a $2 million increase from our Northern Kentucky venues, and a $1 million increase from our Louisville venues.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Wagering Services and Solutions Adjusted EBITDA increased $2 million primarily due to an increase in our Horse Racing business.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Gaming Adjusted EBITDA increased $5 million. Our equity investments increased $3 million from strong performance at Rivers Des Plaines in Illinois and Miami Valley Gaming in Ohio. Our wholly-owned gaming properties increased $2 million primarily from our New York property.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All Other Adjusted EBITDA is consistent with the prior year.</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Nine Months Ended September 30, 2026, Compared to Nine Months Ended September 30, 2025</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Live and Historical Racing Adjusted EBITDA increased $27 million due to a $13 million increase from Churchill Downs Racetrack, and a $22 million increase from our Kentucky HRM venues, partially offset by a $4 million decrease due to a one-time business interruption insurance recovery received in the prior year for our Northern Virginia venue, a $2 million decrease from our Virginia HRM venues, and $2 million decrease at our New Hampshire venues. The Churchill Downs Racetrack increase was primarily due to a record-breaking Derby Week, including increased NBC broadcast revenue, increased ticketing revenue, increased sponsorship and licensing revenue,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47445"/>
                <wp:effectExtent l="0" t="0" r="0" b="0"/>
                <wp:wrapNone/>
                <wp:docPr id="35" name="Frame35"/>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increased wagering revenue, partially offset by higher operating expenses. The Kentucky HRM increase was due to a $7 million increase from our Northern Kentucky venues, a $5 million increase from our Western Kentucky venues, a $5 million increase from our Southwestern Kentucky venues, and a $5 million increase from our Louisville venues. The Virginia HRM decrease was primarily due to a $18 million decrease from our Central Virginia venues that was partially offset by a $14 million increase from our Northern Virginia venue and a $2 million net increase from our Western Virginia and Southern Virginia venues. The decrease from our Central Virginia venues was primarily due to increased competition and a $5 million new tax expense related to live race days under the new racing and HRM tax structure that became effective July 1, 2026. Our Virginia HRM venues continue to benefit from a statewide HRM handle tax reduction that became effective July 1, 2025 as part of this new tax structure. The New Hampshire decrease was due to the closure of our temporary Casino Salem venue during the construction of our Rockingham Grand Casino venue.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Wagering Services and Solutions Adjusted EBITDA increased $10 million due to an $8 million increase from our Horse Racing business, a $1 million increase in online and retail sports betting, and a $1 million increase from our Exacta business.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Gaming Adjusted EBITDA increased $10 million due to a $9 million increase from strong performance at Rivers Des Plaines in Illinois and Miami Valley Gaming in Ohio. Our wholly-owned gaming properties increased $10 million from our New York, Maryland and Pennsylvania properties, offset by a $9 million decrease from our other eight wholly-owned gaming properties.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All Other Adjusted EBITDA decreased $7 million primarily due to a reduction of corporate legal-related fees in the prior year and claim development within our captive insurance company.</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Reconciliation of Net Income to Adjusted EBITDA</w:t>
      </w:r>
    </w:p>
    <w:tbl>
      <w:tblPr>
        <w:tblW w:w="10205" w:type="dxa"/>
        <w:jc w:val="left"/>
        <w:tblInd w:w="0" w:type="dxa"/>
        <w:tblLayout w:type="fixed"/>
        <w:tblCellMar>
          <w:top w:w="28" w:type="dxa"/>
          <w:left w:w="28" w:type="dxa"/>
          <w:bottom w:w="28" w:type="dxa"/>
          <w:right w:w="28" w:type="dxa"/>
        </w:tblCellMar>
      </w:tblPr>
      <w:tblGrid>
        <w:gridCol w:w="1192"/>
        <w:gridCol w:w="937"/>
        <w:gridCol w:w="949"/>
        <w:gridCol w:w="257"/>
        <w:gridCol w:w="569"/>
        <w:gridCol w:w="133"/>
        <w:gridCol w:w="133"/>
        <w:gridCol w:w="133"/>
        <w:gridCol w:w="133"/>
        <w:gridCol w:w="257"/>
        <w:gridCol w:w="569"/>
        <w:gridCol w:w="133"/>
        <w:gridCol w:w="109"/>
        <w:gridCol w:w="109"/>
        <w:gridCol w:w="109"/>
        <w:gridCol w:w="232"/>
        <w:gridCol w:w="398"/>
        <w:gridCol w:w="121"/>
        <w:gridCol w:w="109"/>
        <w:gridCol w:w="109"/>
        <w:gridCol w:w="109"/>
        <w:gridCol w:w="253"/>
        <w:gridCol w:w="559"/>
        <w:gridCol w:w="130"/>
        <w:gridCol w:w="130"/>
        <w:gridCol w:w="130"/>
        <w:gridCol w:w="130"/>
        <w:gridCol w:w="253"/>
        <w:gridCol w:w="559"/>
        <w:gridCol w:w="130"/>
        <w:gridCol w:w="109"/>
        <w:gridCol w:w="109"/>
        <w:gridCol w:w="109"/>
        <w:gridCol w:w="231"/>
        <w:gridCol w:w="395"/>
        <w:gridCol w:w="178"/>
      </w:tblGrid>
      <w:tr>
        <w:trPr/>
        <w:tc>
          <w:tcPr>
            <w:tcW w:w="119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Churchill Downs Incorporated</w:t>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net</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 net</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depreciation and amortization expense related to equity investments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3078"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recoveries, net</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47445"/>
                <wp:effectExtent l="0" t="0" r="0" b="0"/>
                <wp:wrapNone/>
                <wp:docPr id="36" name="Frame36"/>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 xml:space="preserve">Consolidated Balance Sheet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overall financial position:</w:t>
      </w:r>
    </w:p>
    <w:tbl>
      <w:tblPr>
        <w:tblW w:w="6328" w:type="dxa"/>
        <w:jc w:val="left"/>
        <w:tblInd w:w="0" w:type="dxa"/>
        <w:tblLayout w:type="fixed"/>
        <w:tblCellMar>
          <w:top w:w="28" w:type="dxa"/>
          <w:left w:w="28" w:type="dxa"/>
          <w:bottom w:w="28" w:type="dxa"/>
          <w:right w:w="28" w:type="dxa"/>
        </w:tblCellMar>
      </w:tblPr>
      <w:tblGrid>
        <w:gridCol w:w="499"/>
        <w:gridCol w:w="438"/>
        <w:gridCol w:w="443"/>
        <w:gridCol w:w="397"/>
        <w:gridCol w:w="1165"/>
        <w:gridCol w:w="207"/>
        <w:gridCol w:w="109"/>
        <w:gridCol w:w="109"/>
        <w:gridCol w:w="109"/>
        <w:gridCol w:w="387"/>
        <w:gridCol w:w="1135"/>
        <w:gridCol w:w="202"/>
        <w:gridCol w:w="109"/>
        <w:gridCol w:w="109"/>
        <w:gridCol w:w="109"/>
        <w:gridCol w:w="211"/>
        <w:gridCol w:w="43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7,467 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2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Significant items affecting the comparability of our Condensed Consolidated Balance Sheets include: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Total assets decreased $18 million driven by a decrease in current assets consisting of decreases in cash and cash equivalents and income taxes receivable. These decreases were partially offset by increases in accounts receivable and other current assets.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Total liabilities decreased $365 million driven primarily by a decrease in the outstanding balance on the 2031 Revolver, which is included in long-term debt, and decreases in current deferred revenue due to the recognition of revenue related to the 152nd Kentucky Derby, and a decrease in dividends payable due to the payment of the annual dividend. These decreases were partially offset by an increase in accounts payable and deferred income taxes.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Total equity increased $369 million driven by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our liquidity and cash flows:</w:t>
      </w:r>
    </w:p>
    <w:tbl>
      <w:tblPr>
        <w:tblW w:w="5866" w:type="dxa"/>
        <w:jc w:val="left"/>
        <w:tblInd w:w="0" w:type="dxa"/>
        <w:tblLayout w:type="fixed"/>
        <w:tblCellMar>
          <w:top w:w="28" w:type="dxa"/>
          <w:left w:w="28" w:type="dxa"/>
          <w:bottom w:w="28" w:type="dxa"/>
          <w:right w:w="28" w:type="dxa"/>
        </w:tblCellMar>
      </w:tblPr>
      <w:tblGrid>
        <w:gridCol w:w="629"/>
        <w:gridCol w:w="553"/>
        <w:gridCol w:w="558"/>
        <w:gridCol w:w="333"/>
        <w:gridCol w:w="736"/>
        <w:gridCol w:w="172"/>
        <w:gridCol w:w="172"/>
        <w:gridCol w:w="172"/>
        <w:gridCol w:w="172"/>
        <w:gridCol w:w="333"/>
        <w:gridCol w:w="736"/>
        <w:gridCol w:w="172"/>
        <w:gridCol w:w="109"/>
        <w:gridCol w:w="109"/>
        <w:gridCol w:w="109"/>
        <w:gridCol w:w="211"/>
        <w:gridCol w:w="436"/>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w:t>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both"/>
        <w:rPr>
          <w:rFonts w:ascii="Times New Roman;serif" w:hAnsi="Times New Roman;serif"/>
          <w:b/>
          <w:i/>
          <w:color w:val="000000"/>
          <w:sz w:val="20"/>
        </w:rPr>
      </w:pPr>
      <w:r>
        <w:rPr>
          <w:rFonts w:ascii="Times New Roman;serif" w:hAnsi="Times New Roman;serif"/>
          <w:b/>
          <w:i/>
          <w:color w:val="000000"/>
          <w:sz w:val="20"/>
        </w:rPr>
        <w:t xml:space="preserve">Nine Months Ended September 30, 2026, Compared to the Nine Months Ended September 30, 2025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Cash flows provided by operating activities decreased $14 million driven primarily by an increase in cash paid taxes, partially offset by increased distributions from equity method investments and lower cash interest payments. We anticipate that cash flows from operations and availability of borrowings under our credit facility over the next twelve months will be adequate to fund our business operations and capital expenditures.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Cash flows used in investing activities decreased $243 million primarily driven by decreased capital expenditures in 2026 and the acquisition of Casino Salem in 2025.</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Cash flows used in financing activities increased $275 million primarily driven by an increase in paydowns of the 2031 Revolver offset by the reduction of share repurchases in 2026.</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announced several project capital investments, including the following: Rockingham Grand Casino in New Hampshire and Victory Run at Churchill Downs Racetrack. We currently expect our project capital to be approximately $160 to $180 million in 2026, although this amount may vary significantly based on the timing of work completed, unanticipated delays, and timing of payments to third parties. </w:t>
      </w:r>
    </w:p>
    <w:p>
      <w:pPr>
        <w:pStyle w:val="TextBody"/>
        <w:bidi w:val="0"/>
        <w:spacing w:lineRule="auto" w:line="288" w:before="6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Common Stock Repurchase Program</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22, 2025, the Board of Directors of the Company approved a common stock repurchase program of up to $500 million (the "July 2025 Stock Repurchase Program"). The July 2025 Stock Repurchase Program includes and is not in addition to the $169 million previously remaining under the March 2025 Stock Repurchase Program. Share repurchases may be made at management’s discretion from time to time in the open market (either with or without a 10b5-1 plan) or through privately negotiated transactions. The repurchase program has no time limit and may be suspended or discontinued at any time. We had approximately $382 million of repurchase authority remaining under the July 2025 Stock Repurchase Program at September 30, 2026, based on trade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47445"/>
                <wp:effectExtent l="0" t="0" r="0" b="0"/>
                <wp:wrapNone/>
                <wp:docPr id="37" name="Frame37"/>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March 12, 2025, the Board of Directors of the Company approved a new common stock repurchase program of up to $500 million (the "March 2025 Stock Repurchase Program"). The March 2025 Stock Repurchase Program included and was not in addition to any unspent amount remaining under the prior authorization. As described above, the March 2025 Stock Repurchase Program has since been replaced by the July 2025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i/>
          <w:color w:val="000000"/>
          <w:sz w:val="20"/>
        </w:rPr>
      </w:pPr>
      <w:r>
        <w:rPr>
          <w:rFonts w:ascii="Times New Roman;serif" w:hAnsi="Times New Roman;serif"/>
          <w:b/>
          <w:i/>
          <w:color w:val="000000"/>
          <w:sz w:val="20"/>
        </w:rPr>
        <w:t xml:space="preserve">Credit Facilities and Indebtedness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debt outstanding:</w:t>
      </w:r>
    </w:p>
    <w:tbl>
      <w:tblPr>
        <w:tblW w:w="9762" w:type="dxa"/>
        <w:jc w:val="left"/>
        <w:tblInd w:w="0" w:type="dxa"/>
        <w:tblLayout w:type="fixed"/>
        <w:tblCellMar>
          <w:top w:w="28" w:type="dxa"/>
          <w:left w:w="28" w:type="dxa"/>
          <w:bottom w:w="28" w:type="dxa"/>
          <w:right w:w="28" w:type="dxa"/>
        </w:tblCellMar>
      </w:tblPr>
      <w:tblGrid>
        <w:gridCol w:w="1647"/>
        <w:gridCol w:w="1449"/>
        <w:gridCol w:w="1463"/>
        <w:gridCol w:w="397"/>
        <w:gridCol w:w="1165"/>
        <w:gridCol w:w="207"/>
        <w:gridCol w:w="109"/>
        <w:gridCol w:w="109"/>
        <w:gridCol w:w="109"/>
        <w:gridCol w:w="387"/>
        <w:gridCol w:w="1135"/>
        <w:gridCol w:w="202"/>
        <w:gridCol w:w="109"/>
        <w:gridCol w:w="109"/>
        <w:gridCol w:w="109"/>
        <w:gridCol w:w="211"/>
        <w:gridCol w:w="691"/>
        <w:gridCol w:w="154"/>
      </w:tblGrid>
      <w:tr>
        <w:trPr/>
        <w:tc>
          <w:tcPr>
            <w:tcW w:w="1647"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Revolver</w:t>
            </w:r>
          </w:p>
        </w:tc>
        <w:tc>
          <w:tcPr>
            <w:tcW w:w="3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2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due 2031</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due 2033</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B-1 due 2028</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Senior Notes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Senior Notes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Senior Notes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5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5,155 </w:t>
            </w:r>
          </w:p>
        </w:tc>
        <w:tc>
          <w:tcPr>
            <w:tcW w:w="2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 and notes payable</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current maturities</w:t>
            </w:r>
          </w:p>
        </w:tc>
        <w:tc>
          <w:tcPr>
            <w:tcW w:w="15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2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costs, net of premiums and discounts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39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4,063 </w:t>
            </w:r>
          </w:p>
        </w:tc>
        <w:tc>
          <w:tcPr>
            <w:tcW w:w="20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2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September 30, 2026, the Company’s senior secured credit facility (as amended from time to time, the "Credit Agreement") consisted of a $1.2 billion revolving credit facility (the "2031 Revolver"), $1.1 billion senior secured term loan A (the "2031 TLA"), $500 million senior secured term loan B (the "2033 TLB"), and a $100 million swing line commitment. The Company had $1.1 billion available borrowing capacity, after consideration of $10 million in outstanding letters of credit, under the 2031 Revolver as of September 30, 2026.</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25, 2026, the Company closed the eighth amendment to the Credit Agreement to (i) extend the maturity date of the 2031 Revolver and the 2031 TLA from July 2029 to September 2031 subject to an earlier “springing maturity” if certain indebtedness in respect to outstanding notes or other material indebtedness having a maturity prior to September 25, 2031, is not refinanced or extended to a date after September 25, 2031, at least 91 days prior to such other debt’s stated maturity date, (ii) eliminate the 10 basis points credit spread adjustment previously applicable, and (iii) amend certain other provisions of the Credit Agreement.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September 25, 2026, the 2031 Revolver and the 2031 TLA bore interest at the Secured Overnight Financing Rate ("SOFR") plus 10 basis points, plus a variable applicable margin which is determined by the Company's net leverage ratio. As of September 30, 2026, that applicable margin was 150 basis points which was based on the pricing grid in the Credit Agreement. The Company is required to pay a commitment fee on the unused portion of the 2031 Revolver, as determined by a pricing grid based on the consolidated total net secured leverage ratio of the Company. For the period ended September 30, 2026, the Company's commitment fee rate was 0.25%. The 2031 TLA requires quarterly payments of 1.25% of the $1.1 billion balance and is subject to additional mandatory prepayment from excess cash flow on an annual basis per the provisions of the Credit Agreement.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capitalized $2 million of debt issuance costs associated with the amendment which will be amortized as interest expense over the remainder of the term. </w:t>
      </w:r>
    </w:p>
    <w:p>
      <w:pPr>
        <w:pStyle w:val="TextBody"/>
        <w:bidi w:val="0"/>
        <w:spacing w:lineRule="auto" w:line="276"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25, 2026, the Company entered into a new $500 million 2033 TLB under its Credit Agreement. The 2033 TLB was issued at 99.875% of the principal amount and has a maturity date of September 25, 2033. The 2033 TLB bears interest at SOFR plus 175 basis points, requires quarterly payments of 0.25% of the original $500 million balance, and may be subject to additional mandatory prepayment from excess cash flow on an annual basis per the provisions of the Credit Agreement. The Company capitalized $5 million of debt issuance costs associated with the debt which will be amortized along with the amortization of the original issue discount over the 7-year term. The Company used a portion of the net proceeds from the 2033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47445"/>
                <wp:effectExtent l="0" t="0" r="0" b="0"/>
                <wp:wrapNone/>
                <wp:docPr id="38" name="Frame38"/>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60" w:after="120"/>
        <w:jc w:val="both"/>
        <w:rPr>
          <w:rFonts w:ascii="Times New Roman;serif" w:hAnsi="Times New Roman;serif"/>
          <w:b w:val="false"/>
          <w:color w:val="000000"/>
          <w:sz w:val="20"/>
        </w:rPr>
      </w:pPr>
      <w:r>
        <w:rPr>
          <w:rFonts w:ascii="Times New Roman;serif" w:hAnsi="Times New Roman;serif"/>
          <w:b w:val="false"/>
          <w:color w:val="000000"/>
          <w:sz w:val="20"/>
        </w:rPr>
        <w:t>TLB to repay indebtedness outstanding under its Term Loan B-1 due 2028 (the "2028 TLB"), repay indebtedness outstanding under its 2031 Revolver, to fund related transaction fees and expenses, and for working capital and other general corporate purposes. The Company recognized expenses related to the repayment of the 2028 TLB of $1 million, which is included in miscellaneous, net in the accompanying Condensed Consolidated Statements of Comprehensive Income.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14, 2025, the Company announced that it closed the seventh amendment of the Credit Agreement. The seventh amendment to the Credit Agreement (i) reduced the interest rate margin applicable to the 2028 TLB by 0.25% from SOFR plus 200 basis points to SOFR plus 175 basis points, (ii) eliminated the 10 basis points credit spread adjustment previously applicable to the 2028 TLB, and (iii) made certain other amendments to the Credit Agreement.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2028 TLB required quarterly payments of 0.25% of the original $300 million balance and was subject to additional mandatory prepayment from excess cash flow on an annual basis per the provisions of the Credit Agreement.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estimated contractual payments, including interest, under the Credit Agreement for the next twelve months are estimated to be $149 million assuming no change in the weighted average borrowing rate of 5.48%, which was in place as of September 30, 2026. During the nine months ended September 30, 2026, we had repayments of principal and interest on the Credit Agreement of $1.9 billion.</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2027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we had $600 million in aggregate principal amount of 5.50% senior unsecured notes that mature on April 1, 2027 (the "2027 Senior Notes"). The 2027 Senior Notes were issued at par in a private offering to qualified institutional buyers, with interest payable in arrears on April 1st and October 1st of each year. The Company may redeem some or all the 2027 Senior Notes at redemption prices set forth in the 2027 Indenture. On September 18, 2026, the Company issued a conditional redemption notice to redeem the 2027 Senior Notes on October 19, 2026.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2028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September 30, 2026, we had a total of $700 million in aggregate principal amount of 4.75% senior unsecured notes (the "2028 Senior Notes") maturing on January 15, 2028. The 2028 Senior Notes consist of $500 million notes issued at par and $200 million notes issued at 103.25%. The 2028 Senior Notes were issued in a private offering to qualified institutional buyers, with interest payable in arrears on January 15th and July 15th of each year, commencing on July 15th, 2018. The 3.25% premium is being amortized through interest expense, net over the term of the notes. The Company may redeem some or all of the 2028 Senior Notes at redemption prices set forth in the 2028 Indenture.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2030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September 30, 2026, we had $1.2 billion in aggregate principal amount of 5.75% senior unsecured notes that mature on April 1, 2030 (the "2030 Senior Notes"). The 2030 Senior Notes were issued at par in a private offering to qualified institutional buyers, with interest payable in arrears on April 1st and October 1st of each year, commencing on October 1st, 2022. The Company may redeem some or all of the 2030 Senior Notes at redemption prices set forth in the 2030 Indenture.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2031 Senior Notes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we had $600 million in aggregate principal amount of 6.75% senior unsecured notes that mature on May 1, 2031 (the "2031 Senior Notes"). The 2031 Senior Notes were issued at par in a private offering to qualified institutional buyers, with interest payable in arrears on May 1st and November 1st of each year, commencing on November 1st, 2023. The Company may redeem some or all of the 2031 Senior Notes at redemption prices set forth in the 2031 Indenture.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leases certain real estate and other property. Most of our building and land leases have terms of 2 to 10 years and include one or more options to renew, with renewal terms that can extend the lease term by 1 to 5 years or more. Certain of our lease agreements include lease payments based on a percentage of net gaming revenue and others include periodic rental payment adjustments for inflation. As of September 30, 2026, minimum rent payable under operating leases was $52 million, with $7 million due in the next twelve months. As of September 30, 2026, minimum rent payable accounted for as financing obligations was $31 million, with $4 million due in the next twelve months.</w:t>
      </w:r>
    </w:p>
    <w:p>
      <w:pPr>
        <w:pStyle w:val="TextBody"/>
        <w:bidi w:val="0"/>
        <w:spacing w:lineRule="auto" w:line="288" w:before="180" w:after="60"/>
        <w:jc w:val="both"/>
        <w:rPr>
          <w:rFonts w:ascii="Times New Roman;serif" w:hAnsi="Times New Roman;serif"/>
          <w:b/>
          <w:i/>
          <w:color w:val="000000"/>
          <w:sz w:val="20"/>
        </w:rPr>
      </w:pPr>
      <w:r>
        <w:rPr>
          <w:rFonts w:ascii="Times New Roman;serif" w:hAnsi="Times New Roman;serif"/>
          <w:b/>
          <w:i/>
          <w:color w:val="000000"/>
          <w:sz w:val="20"/>
        </w:rPr>
        <w:t>Other Contractual Obligations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other contractual obligations with commitments of $9 million, $2 million of which is due within the next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47445"/>
                <wp:effectExtent l="0" t="0" r="0" b="0"/>
                <wp:wrapNone/>
                <wp:docPr id="39" name="Frame39"/>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Company is exploring options to fund upcoming senior note maturities through a combination of cash on hand, cash generated from operations, available capacity under its revolving credit facility, and raising funds via debt markets. Our ability to raise debt and the terms under which we would fund the obligations are subject to our ability to access the debt markets and other economic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both"/>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arising from adverse changes in:</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general economic trends; and</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interest rate and credit risk.</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General economic trends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business is sensitive to consumer confidence and reductions in consumers' discretionary spending, which may result from challenging economic conditions, interest rate fluctuations, unemployment levels and other changes in the economy. Demand for entertainment and leisure activities is sensitive to consumers’ disposable incomes, which can be adversely affected by economic conditions and unemployment levels. This could result in fewer patrons visiting our racetracks, HRM entertainment venues, online wagering sites, and gaming facilities, and/or may impact our customers’ ability to wager with the same frequency and to maintain wagering levels.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Interest rate and credit risk</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exposure to market risk relates to changes in interest rates. On September 30, 2026, we had $1.6 billion outstanding under our Credit Agreement, which bears interest at SOFR based variable rates. We are exposed to market risk on variable rate debt due to potential adverse changes in these rates. Assuming the outstanding balance of the debt facility remains constant, a one-percentage point increase in the SOFR rate would reduce net income and cash flows from operating activities by $12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35"/>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60" w:after="12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ensure that information required to be disclosed in our reports that we file or submit under the Securities Exchange Act of 1934, as amended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required by the Securities and Exchange Commission Rule 13a-15(e), we carried out an evaluation, under the supervision and with the participation of management, including our Chief Executive Officer and Chief Financial Officer, of the effectiveness of the design and operation of our disclosure controls and procedures as of September 30, 2026. Based upon the foregoing, our Chief Executive Officer and Chief Financial Officer concluded that our disclosure controls and procedures were effective.</w:t>
      </w:r>
    </w:p>
    <w:p>
      <w:pPr>
        <w:pStyle w:val="TextBody"/>
        <w:bidi w:val="0"/>
        <w:spacing w:lineRule="auto" w:line="288" w:before="60" w:after="12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2026, the Company completed the implementation of a new financial reporting system. In connection with the implementation, the Company modified and enhanced its controls and reporting capabilities. Management believes the controls are appropriately designed and will continue to evaluate the effectiveness of its information technology and overall controls. There have been no other changes in our internal control over financial reporting, as defined in Rule 13a-15(f) of the Exchange Act, during the period covered by this report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47445"/>
                <wp:effectExtent l="0" t="0" r="0" b="0"/>
                <wp:wrapNone/>
                <wp:docPr id="40" name="Frame40"/>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556" w:before="240" w:after="18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080"/>
        <w:jc w:val="both"/>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are involved in ordinary routine litigation matters which are incidental to our business. Refer to Note 14, Contingencies, in the notes to our condensed consolidated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our risk factors previously disclosed in Part I, Item 1A of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035"/>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Issuer Purchases of Common Stock</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shares of common stock that we repurchased during the quarter ended September 30, 2026:</w:t>
      </w:r>
    </w:p>
    <w:tbl>
      <w:tblPr>
        <w:tblW w:w="10205" w:type="dxa"/>
        <w:jc w:val="left"/>
        <w:tblInd w:w="0" w:type="dxa"/>
        <w:tblLayout w:type="fixed"/>
        <w:tblCellMar>
          <w:top w:w="28" w:type="dxa"/>
          <w:left w:w="28" w:type="dxa"/>
          <w:bottom w:w="28" w:type="dxa"/>
          <w:right w:w="28" w:type="dxa"/>
        </w:tblCellMar>
      </w:tblPr>
      <w:tblGrid>
        <w:gridCol w:w="439"/>
        <w:gridCol w:w="353"/>
        <w:gridCol w:w="262"/>
        <w:gridCol w:w="109"/>
        <w:gridCol w:w="109"/>
        <w:gridCol w:w="109"/>
        <w:gridCol w:w="607"/>
        <w:gridCol w:w="469"/>
        <w:gridCol w:w="471"/>
        <w:gridCol w:w="109"/>
        <w:gridCol w:w="109"/>
        <w:gridCol w:w="109"/>
        <w:gridCol w:w="276"/>
        <w:gridCol w:w="808"/>
        <w:gridCol w:w="143"/>
        <w:gridCol w:w="109"/>
        <w:gridCol w:w="109"/>
        <w:gridCol w:w="109"/>
        <w:gridCol w:w="825"/>
        <w:gridCol w:w="721"/>
        <w:gridCol w:w="723"/>
        <w:gridCol w:w="109"/>
        <w:gridCol w:w="109"/>
        <w:gridCol w:w="109"/>
        <w:gridCol w:w="594"/>
        <w:gridCol w:w="1737"/>
        <w:gridCol w:w="308"/>
        <w:gridCol w:w="161"/>
      </w:tblGrid>
      <w:tr>
        <w:trPr/>
        <w:tc>
          <w:tcPr>
            <w:tcW w:w="43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w:t>
            </w:r>
            <w:r>
              <w:rPr>
                <w:rFonts w:ascii="Times New Roman;serif" w:hAnsi="Times New Roman;serif"/>
                <w:b/>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as Part of Publicly Announced Plans or Programs </w:t>
            </w:r>
            <w:r>
              <w:rPr>
                <w:rFonts w:ascii="Times New Roman;serif" w:hAnsi="Times New Roman;serif"/>
                <w:b/>
                <w:color w:val="000000"/>
                <w:sz w:val="13"/>
              </w:rPr>
              <w:t xml:space="preserve">(1)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Approximate Dollar Value of Shares That May Yet Be Purchased Under the Plans or Programs (in millions) </w:t>
            </w:r>
            <w:r>
              <w:rPr>
                <w:rFonts w:ascii="Times New Roman;serif" w:hAnsi="Times New Roman;serif"/>
                <w:b/>
                <w:color w:val="000000"/>
                <w:sz w:val="13"/>
              </w:rPr>
              <w:t xml:space="preserve">(1) </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05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71" w:type="dxa"/>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87.45 </w:t>
            </w:r>
          </w:p>
        </w:tc>
        <w:tc>
          <w:tcPr>
            <w:tcW w:w="143" w:type="dxa"/>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3" w:type="dxa"/>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7"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308" w:type="dxa"/>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238,563 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88.64 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236,857 </w:t>
            </w:r>
          </w:p>
        </w:tc>
        <w:tc>
          <w:tcPr>
            <w:tcW w:w="7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333,312 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333,312 </w:t>
            </w:r>
          </w:p>
        </w:tc>
        <w:tc>
          <w:tcPr>
            <w:tcW w:w="7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571,937 </w:t>
            </w:r>
          </w:p>
        </w:tc>
        <w:tc>
          <w:tcPr>
            <w:tcW w:w="4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84.15 </w:t>
            </w:r>
          </w:p>
        </w:tc>
        <w:tc>
          <w:tcPr>
            <w:tcW w:w="1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570,169 </w:t>
            </w:r>
          </w:p>
        </w:tc>
        <w:tc>
          <w:tcPr>
            <w:tcW w:w="72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(1)On July 22, 2025, the Board of Directors of the Company approved a common stock repurchase program of up to $500 million (the "July 2025 Stock Repurchase Program"). The July 2025 Stock Repurchase Program includes and is not in addition to the $169 million previously remaining under the March 2025 Stock Repurchase Program authorization. Share repurchases may be made at management's discretion from time to time in the open market (either with or without a 10b5-1 plan) or through privately negotiated transactions. The repurchase program has no time limit and may be suspended or discontinued at any time.</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(2)Includes shares withheld to pay taxes on the vesting of restricted stock and restricted stock units or to pay taxes on the exercise of stock options granted to employees.</w:t>
      </w:r>
    </w:p>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035"/>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20"/>
        <w:ind w:left="0" w:right="0" w:hanging="103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035"/>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20"/>
        <w:ind w:left="0" w:right="0" w:hanging="103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035"/>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September 30, 2026, none of the Company’s directors or executive officers adopted or terminated any contract, instruction or written plan for the purchase or sale of Company securities that was intended to satisfy the affirmative defense conditions of Rule 10b5-1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47445"/>
                <wp:effectExtent l="0" t="0" r="0" b="0"/>
                <wp:wrapNone/>
                <wp:docPr id="41" name="Frame41"/>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98"/>
        <w:gridCol w:w="262"/>
        <w:gridCol w:w="263"/>
        <w:gridCol w:w="109"/>
        <w:gridCol w:w="109"/>
        <w:gridCol w:w="109"/>
        <w:gridCol w:w="1949"/>
        <w:gridCol w:w="1868"/>
        <w:gridCol w:w="1886"/>
        <w:gridCol w:w="109"/>
        <w:gridCol w:w="109"/>
        <w:gridCol w:w="109"/>
        <w:gridCol w:w="955"/>
        <w:gridCol w:w="890"/>
        <w:gridCol w:w="1180"/>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By reference to:</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00"/>
                  <w:sz w:val="20"/>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Eighth Amendment to Credit Agreement, dated September 25, 2026, by and among Churchill Downs Incorporated, the guarantors party thereto, the lenders party thereto, and JPMorgan Chase Bank, N.A., as administrative agent and fronting lender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 to the Current Report on Form 8-K filed by Churchill Downs Incorporated on September 28, 2026</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a2026093010q.htm">
              <w:r>
                <w:rPr>
                  <w:rStyle w:val="InternetLink"/>
                  <w:rFonts w:ascii="Times New Roman;serif" w:hAnsi="Times New Roman;serif"/>
                  <w:b w:val="false"/>
                  <w:color w:val="000000"/>
                  <w:sz w:val="20"/>
                </w:rPr>
                <w:t>31(a)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b2026093010q.htm">
              <w:r>
                <w:rPr>
                  <w:rStyle w:val="InternetLink"/>
                  <w:rFonts w:ascii="Times New Roman;serif" w:hAnsi="Times New Roman;serif"/>
                  <w:b w:val="false"/>
                  <w:color w:val="000000"/>
                  <w:sz w:val="20"/>
                </w:rPr>
                <w:t>31(b)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2026093010q.htm">
              <w:r>
                <w:rPr>
                  <w:rStyle w:val="InternetLink"/>
                  <w:rFonts w:ascii="Times New Roman;serif" w:hAnsi="Times New Roman;serif"/>
                  <w:b w:val="false"/>
                  <w:color w:val="000000"/>
                  <w:sz w:val="20"/>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and Principal Financial Officer Pursuant to 18 U.S.C. Section 1350, As Adopted Pursuant to Section 906 of the Sarbanes-Oxley Act of 2002 (furnished pursuant to Rule 13a – 14(b))**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5" w:type="dxa"/>
            <w:gridSpan w:val="3"/>
            <w:tcBorders/>
            <w:vAlign w:val="center"/>
          </w:tcPr>
          <w:p>
            <w:pPr>
              <w:pStyle w:val="TableContents"/>
              <w:bidi w:val="0"/>
              <w:spacing w:before="0" w:after="283"/>
              <w:jc w:val="left"/>
              <w:rPr>
                <w:sz w:val="4"/>
                <w:szCs w:val="4"/>
              </w:rPr>
            </w:pPr>
            <w:r>
              <w:rPr>
                <w:sz w:val="4"/>
                <w:szCs w:val="4"/>
              </w:rPr>
            </w:r>
          </w:p>
        </w:tc>
      </w:tr>
      <w:tr>
        <w:trPr/>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5" w:type="dxa"/>
            <w:gridSpan w:val="3"/>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5" w:type="dxa"/>
            <w:gridSpan w:val="3"/>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03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47445"/>
                <wp:effectExtent l="0" t="0" r="0" b="0"/>
                <wp:wrapNone/>
                <wp:docPr id="42" name="Frame42"/>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left"/>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left"/>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5969" w:type="dxa"/>
        <w:jc w:val="left"/>
        <w:tblInd w:w="0" w:type="dxa"/>
        <w:tblLayout w:type="fixed"/>
        <w:tblCellMar>
          <w:top w:w="28" w:type="dxa"/>
          <w:left w:w="28" w:type="dxa"/>
          <w:bottom w:w="28" w:type="dxa"/>
          <w:right w:w="28" w:type="dxa"/>
        </w:tblCellMar>
      </w:tblPr>
      <w:tblGrid>
        <w:gridCol w:w="553"/>
        <w:gridCol w:w="487"/>
        <w:gridCol w:w="489"/>
        <w:gridCol w:w="1299"/>
        <w:gridCol w:w="1299"/>
        <w:gridCol w:w="1842"/>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28, 2026</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C. Carstanjen</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 Carstanjen</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28, 2026</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Marcia A. Dall</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Marcia A. Dall</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lineRule="auto" w:line="288" w:before="0" w:after="0"/>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47445"/>
                <wp:effectExtent l="0" t="0" r="0" b="0"/>
                <wp:wrapNone/>
                <wp:docPr id="43" name="Frame43"/>
                <a:graphic xmlns:a="http://schemas.openxmlformats.org/drawingml/2006/main">
                  <a:graphicData uri="http://schemas.microsoft.com/office/word/2010/wordprocessingShape">
                    <wps:wsp>
                      <wps:cNvSpPr txBox="1"/>
                      <wps:spPr>
                        <a:xfrm>
                          <a:off x="0" y="0"/>
                          <a:ext cx="6480175" cy="1147445"/>
                        </a:xfrm>
                        <a:prstGeom prst="rect"/>
                        <a:solidFill>
                          <a:srgbClr val="FFFFFF"/>
                        </a:solidFill>
                      </wps:spPr>
                      <wps:txb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35pt;mso-wrap-distance-left:0pt;mso-wrap-distance-right:0pt;mso-wrap-distance-top:0pt;mso-wrap-distance-bottom:0pt;margin-top:0pt;mso-position-vertical:top;mso-position-vertical-relative:text;margin-left:0pt;mso-position-horizontal:left;mso-position-horizontal-relative:text">
                <v:textbox>
                  <w:txbxContent>
                    <w:tbl>
                      <w:tblPr>
                        <w:tblW w:w="6594" w:type="dxa"/>
                        <w:jc w:val="center"/>
                        <w:tblInd w:w="0" w:type="dxa"/>
                        <w:tblLayout w:type="fixed"/>
                        <w:tblCellMar>
                          <w:top w:w="28" w:type="dxa"/>
                          <w:left w:w="28" w:type="dxa"/>
                          <w:bottom w:w="28" w:type="dxa"/>
                          <w:right w:w="28" w:type="dxa"/>
                        </w:tblCellMar>
                      </w:tblPr>
                      <w:tblGrid>
                        <w:gridCol w:w="785"/>
                        <w:gridCol w:w="686"/>
                        <w:gridCol w:w="686"/>
                        <w:gridCol w:w="686"/>
                        <w:gridCol w:w="686"/>
                        <w:gridCol w:w="686"/>
                        <w:gridCol w:w="686"/>
                        <w:gridCol w:w="686"/>
                        <w:gridCol w:w="1007"/>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5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SEPTEMBER 30, 2026</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31(a)</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William C. Carstanjen, certify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Churchill Downs Incorporated;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71"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725"/>
        <w:gridCol w:w="725"/>
        <w:gridCol w:w="102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C. Carstanjen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 Carstanjen</w:t>
              <w:br/>
              <w:t>Chief Executive Officer</w:t>
              <w:br/>
              <w:t>(Principal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31(b)</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Marcia A. Dall, certify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Churchill Downs Incorporated;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835"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Marcia A. Dall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Marcia A. Dall</w:t>
              <w:br/>
              <w:t>Executive Vice President and Chief Financial Officer</w:t>
              <w:br/>
              <w:t>(Principal Financial &amp; Accounting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Churchill Downs Incorporated (the “Company”) for the quarterly period ended September 30, 2026, as filed with the Securities and Exchange Commission on the date hereof (the “Report”), William C. Carstanjen, as Chief Executive Officer (Principal Executive Officer) of the Company, and Marcia A. Dall, as Executive Vice President and Chief Financial Officer (Principal Financial &amp; Accounting Officer) of the Company, each hereby certifies, pursuant to 18 U.S.C. § 1350, as adopted pursuant to § 906 of the Sarbanes-Oxley Act of 2002, to the best of his or her knowledge,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782" w:type="dxa"/>
        <w:jc w:val="left"/>
        <w:tblInd w:w="0" w:type="dxa"/>
        <w:tblLayout w:type="fixed"/>
        <w:tblCellMar>
          <w:top w:w="28" w:type="dxa"/>
          <w:left w:w="28" w:type="dxa"/>
          <w:bottom w:w="28" w:type="dxa"/>
          <w:right w:w="28" w:type="dxa"/>
        </w:tblCellMar>
      </w:tblPr>
      <w:tblGrid>
        <w:gridCol w:w="1597"/>
        <w:gridCol w:w="1402"/>
        <w:gridCol w:w="1411"/>
        <w:gridCol w:w="109"/>
        <w:gridCol w:w="109"/>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C. Carstanjen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 Carstanjen</w:t>
              <w:b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28,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Marcia A. Dall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Marcia A. Dall</w:t>
              <w:br/>
              <w:t>Executive Vice President and Chief Financial Officer</w:t>
              <w:br/>
              <w:t>(Principal Financial &amp;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28,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is being furnished to the Securities and Exchange Commission as an exhibit to the Report and shall not be deemed filed by the Company for purposes of § 18 of the Securities Exchange Act of 1934, as amended.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Churchill Downs Incorporated and will be retained by Churchill Downs Incorporated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212/000119312526403885/d166307d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19692</Words>
  <Characters>106468</Characters>
  <CharactersWithSpaces>124445</CharactersWithSpaces>
  <Paragraphs>3250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