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3022799.xml.htm"/>
      <w:bookmarkStart w:id="1" w:name="kswkform4_178302279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GRISSOM DOUGLAS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600 N. HURSTBOURNE PARKWAY, SUITE 400</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LOUISVILLE</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KY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40222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Churchill Downs Inc</w:t>
              </w:r>
            </w:hyperlink>
            <w:r>
              <w:rPr/>
              <w:t xml:space="preserve"> [ </w:t>
            </w:r>
            <w:r>
              <w:rPr>
                <w:rFonts w:ascii="Times;serif" w:hAnsi="Times;serif"/>
                <w:color w:val="0000FF"/>
                <w:sz w:val="24"/>
                <w:shd w:fill="FFFFFF" w:val="clear"/>
              </w:rPr>
              <w:t>CHDN</w:t>
            </w:r>
            <w:r>
              <w:rPr/>
              <w:t xml:space="preserve"> ] </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26"/>
        <w:gridCol w:w="903"/>
        <w:gridCol w:w="772"/>
        <w:gridCol w:w="600"/>
        <w:gridCol w:w="347"/>
        <w:gridCol w:w="969"/>
        <w:gridCol w:w="449"/>
        <w:gridCol w:w="612"/>
        <w:gridCol w:w="1316"/>
        <w:gridCol w:w="991"/>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26"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1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26"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1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26"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Common Stock</w:t>
            </w:r>
            <w:r>
              <w:rPr>
                <w:rFonts w:ascii="Times;serif" w:hAnsi="Times;serif"/>
                <w:color w:val="008000"/>
                <w:position w:val="7"/>
                <w:sz w:val="16"/>
                <w:sz w:val="20"/>
                <w:shd w:fill="FFFFFF" w:val="clear"/>
              </w:rPr>
              <w:t>(1)</w:t>
            </w:r>
            <w:r>
              <w:rPr/>
              <w:t xml:space="preserve"> </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383.48</w:t>
            </w:r>
            <w:r>
              <w:rPr>
                <w:rFonts w:ascii="Times;serif" w:hAnsi="Times;serif"/>
                <w:color w:val="008000"/>
                <w:position w:val="7"/>
                <w:sz w:val="16"/>
                <w:sz w:val="20"/>
                <w:shd w:fill="FFFFFF" w:val="clear"/>
              </w:rPr>
              <w:t>(2)</w:t>
            </w:r>
            <w:r>
              <w:rPr/>
              <w:t xml:space="preserve"> </w:t>
            </w:r>
          </w:p>
        </w:tc>
        <w:tc>
          <w:tcPr>
            <w:tcW w:w="44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43,005.77</w:t>
            </w:r>
            <w:r>
              <w:rPr>
                <w:rFonts w:ascii="Times;serif" w:hAnsi="Times;serif"/>
                <w:color w:val="008000"/>
                <w:position w:val="7"/>
                <w:sz w:val="16"/>
                <w:sz w:val="20"/>
                <w:shd w:fill="FFFFFF" w:val="clear"/>
              </w:rPr>
              <w:t>(3)</w:t>
            </w:r>
            <w:r>
              <w:rPr/>
              <w:t xml:space="preserve"> </w:t>
            </w:r>
          </w:p>
        </w:tc>
        <w:tc>
          <w:tcPr>
            <w:tcW w:w="9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Phantom share units awarded in connection with the election to defer compensation. Each phantom share unit is the economic equivalent of one share of common stock. The shares of common stock are transferred upon the reporting person's completion of service as a director.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closing price of CHDN common stock on June 30, 2026, was used to determine the number of phantom shares awarded.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holding is comprised of restricted stock units granted for service as a director, phantom share units granted in connection with deferred compensation elections and dividends awarded for each unit.</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Paula Chumbley, Attorney-in-Fact for Douglas C. Grissom</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46240" TargetMode="External"/><Relationship Id="rId5" Type="http://schemas.openxmlformats.org/officeDocument/2006/relationships/hyperlink" Target="http://www.sec.gov/cgi-bin/browse-edgar?action=getcompany&amp;CIK=000002021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660</Words>
  <Characters>3582</Characters>
  <CharactersWithSpaces>4183</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