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5"/>
        <w:bidi w:val="0"/>
        <w:spacing w:before="120" w:after="60"/>
        <w:jc w:val="left"/>
        <w:rPr/>
      </w:pPr>
      <w:hyperlink w:anchor="toc">
        <w:bookmarkStart w:id="0" w:name="d881652ddefa14a.htm"/>
        <w:bookmarkStart w:id="1" w:name="ksd881652ddefa14a"/>
        <w:bookmarkEnd w:id="0"/>
        <w:bookmarkEnd w:id="1"/>
        <w:r>
          <w:rPr>
            <w:rStyle w:val="InternetLink"/>
            <w:b/>
            <w:sz w:val="20"/>
          </w:rPr>
          <w:t>Table of Contents</w:t>
        </w:r>
      </w:hyperlink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</w:p>
    <w:p>
      <w:pPr>
        <w:pStyle w:val="TextBody"/>
        <w:bidi w:val="0"/>
        <w:spacing w:before="20" w:after="0"/>
        <w:jc w:val="center"/>
        <w:rPr>
          <w:rFonts w:ascii="Times New Roman" w:hAnsi="Times New Roman"/>
          <w:b/>
          <w:sz w:val="36"/>
        </w:rPr>
      </w:pPr>
      <w:bookmarkStart w:id="2" w:name="toc"/>
      <w:bookmarkEnd w:id="2"/>
      <w:r>
        <w:rPr>
          <w:rFonts w:ascii="Times New Roman" w:hAnsi="Times New Roman"/>
          <w:b/>
          <w:sz w:val="36"/>
        </w:rPr>
        <w:t xml:space="preserve">UNITED STATES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SECURITIES AND EXCHANGE COMMISSION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Washington, D.C. 20549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120" w:after="0"/>
        <w:jc w:val="center"/>
        <w:rPr>
          <w:rFonts w:ascii="Times New Roman" w:hAnsi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SCHEDULE 14A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(Rule 14a-101)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INFORMATION REQUIRED IN PROXY STATEMENT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SCHEDULE 14A INFORMATION </w:t>
      </w:r>
    </w:p>
    <w:p>
      <w:pPr>
        <w:pStyle w:val="TextBody"/>
        <w:bidi w:val="0"/>
        <w:spacing w:before="12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Proxy Statement Pursuant to Section 14(a) of the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Securities Exchange Act of 1934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8" w:space="1" w:color="000000"/>
        </w:pBdr>
        <w:bidi w:val="0"/>
        <w:spacing w:lineRule="atLeast" w:line="142" w:before="0" w:after="40"/>
        <w:jc w:val="center"/>
        <w:rPr/>
      </w:pPr>
      <w:r>
        <w:rPr/>
        <w:t> 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Filed by the Registrant ☒       Filed by a party other than the Registrant ☐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Check the appropriate box: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Preliminary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b/>
                <w:sz w:val="16"/>
              </w:rPr>
              <w:t>Confidential, for Use of the Commission Only (as permitted by Rule 14a-6(e)(2))</w:t>
            </w:r>
            <w:r>
              <w:rPr>
                <w:rFonts w:ascii="Times New Roman" w:hAnsi="Times New Roman"/>
                <w:sz w:val="16"/>
              </w:rPr>
              <w:t xml:space="preserve">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8"/>
        <w:gridCol w:w="9797"/>
      </w:tblGrid>
      <w:tr>
        <w:trPr/>
        <w:tc>
          <w:tcPr>
            <w:tcW w:w="408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7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Definitive Proxy Statement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6"/>
        <w:gridCol w:w="9799"/>
      </w:tblGrid>
      <w:tr>
        <w:trPr/>
        <w:tc>
          <w:tcPr>
            <w:tcW w:w="406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9799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Definitive Additional Materials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7"/>
        <w:gridCol w:w="9798"/>
      </w:tblGrid>
      <w:tr>
        <w:trPr/>
        <w:tc>
          <w:tcPr>
            <w:tcW w:w="407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9798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  <w:t xml:space="preserve">Soliciting Material Pursuant to §240.14a-12 </w:t>
            </w:r>
          </w:p>
        </w:tc>
      </w:tr>
    </w:tbl>
    <w:p>
      <w:pPr>
        <w:pStyle w:val="TextBody"/>
        <w:bidi w:val="0"/>
        <w:spacing w:before="240" w:after="0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 xml:space="preserve">CHURCHILL DOWNS INCORPORATED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120" w:after="0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Not applicable. </w:t>
      </w:r>
    </w:p>
    <w:p>
      <w:pPr>
        <w:pStyle w:val="TextBody"/>
        <w:bidi w:val="0"/>
        <w:spacing w:before="0" w:after="0"/>
        <w:jc w:val="center"/>
        <w:rPr>
          <w:rFonts w:ascii="Times New Roman" w:hAnsi="Times New Roman"/>
          <w:b/>
          <w:sz w:val="16"/>
        </w:rPr>
      </w:pPr>
      <w:r>
        <w:rPr>
          <w:rFonts w:ascii="Times New Roman" w:hAnsi="Times New Roman"/>
          <w:b/>
          <w:sz w:val="16"/>
        </w:rPr>
        <w:t xml:space="preserve">(Name of Person(s) Filing Proxy Statement, if other than the Registrant) </w:t>
      </w:r>
    </w:p>
    <w:p>
      <w:pPr>
        <w:pStyle w:val="TextBody"/>
        <w:bidi w:val="0"/>
        <w:spacing w:before="120" w:after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Payment of Filing Fee (Check all boxes that apply): 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5"/>
        <w:gridCol w:w="135"/>
        <w:gridCol w:w="749"/>
        <w:gridCol w:w="306"/>
        <w:gridCol w:w="8480"/>
      </w:tblGrid>
      <w:tr>
        <w:trPr/>
        <w:tc>
          <w:tcPr>
            <w:tcW w:w="5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6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20" w:hRule="atLeast"/>
        </w:trPr>
        <w:tc>
          <w:tcPr>
            <w:tcW w:w="5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70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☒</w:t>
            </w:r>
          </w:p>
        </w:tc>
        <w:tc>
          <w:tcPr>
            <w:tcW w:w="13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 fee required.</w:t>
            </w:r>
          </w:p>
        </w:tc>
      </w:tr>
      <w:tr>
        <w:trPr>
          <w:trHeight w:val="120" w:hRule="atLeast"/>
        </w:trPr>
        <w:tc>
          <w:tcPr>
            <w:tcW w:w="5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70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3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paid previously with preliminary materials.</w:t>
            </w:r>
          </w:p>
        </w:tc>
      </w:tr>
      <w:tr>
        <w:trPr>
          <w:trHeight w:val="120" w:hRule="atLeast"/>
        </w:trPr>
        <w:tc>
          <w:tcPr>
            <w:tcW w:w="5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70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3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☐</w:t>
            </w:r>
          </w:p>
        </w:tc>
        <w:tc>
          <w:tcPr>
            <w:tcW w:w="135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535" w:type="dxa"/>
            <w:gridSpan w:val="3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Fee computed on table in exhibit required by Item 25(b) per Exchange Act Rules 14a-6(i)(1) and 0-11.</w:t>
            </w:r>
          </w:p>
        </w:tc>
      </w:tr>
    </w:tbl>
    <w:p>
      <w:pPr>
        <w:pStyle w:val="TextBody"/>
        <w:pBdr>
          <w:bottom w:val="single" w:sz="2" w:space="1" w:color="000000"/>
        </w:pBdr>
        <w:bidi w:val="0"/>
        <w:spacing w:lineRule="atLeast" w:line="142" w:before="0" w:after="0"/>
        <w:jc w:val="left"/>
        <w:rPr/>
      </w:pPr>
      <w:r>
        <w:rPr/>
        <w:t> </w:t>
      </w:r>
    </w:p>
    <w:p>
      <w:pPr>
        <w:pStyle w:val="TextBody"/>
        <w:pBdr>
          <w:bottom w:val="single" w:sz="2" w:space="1" w:color="000000"/>
        </w:pBdr>
        <w:bidi w:val="0"/>
        <w:spacing w:lineRule="atLeast" w:line="142" w:before="0" w:after="40"/>
        <w:jc w:val="left"/>
        <w:rPr/>
      </w:pPr>
      <w:r>
        <w:rPr/>
        <w:t> </w:t>
      </w:r>
      <w:r>
        <w:br w:type="page"/>
      </w:r>
    </w:p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rPr/>
      </w:r>
    </w:p>
    <w:p>
      <w:pPr>
        <w:pStyle w:val="Heading5"/>
        <w:bidi w:val="0"/>
        <w:jc w:val="left"/>
        <w:rPr/>
      </w:pPr>
      <w:hyperlink w:anchor="toc">
        <w:r>
          <w:rPr>
            <w:rStyle w:val="InternetLink"/>
            <w:b/>
            <w:sz w:val="20"/>
          </w:rPr>
          <w:t>Table of Contents</w:t>
        </w:r>
      </w:hyperlink>
    </w:p>
    <w:tbl>
      <w:tblPr>
        <w:tblW w:w="10883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65"/>
        <w:gridCol w:w="120"/>
        <w:gridCol w:w="23"/>
        <w:gridCol w:w="120"/>
        <w:gridCol w:w="5355"/>
      </w:tblGrid>
      <w:tr>
        <w:trPr/>
        <w:tc>
          <w:tcPr>
            <w:tcW w:w="52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3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65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   </w:t>
            </w:r>
            <w:r>
              <w:rPr/>
              <w:drawing>
                <wp:inline distT="0" distB="0" distL="0" distR="0">
                  <wp:extent cx="2838450" cy="4857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    </w:t>
            </w:r>
            <w:r>
              <w:rPr>
                <w:rFonts w:ascii="ARIAL" w:hAnsi="ARIAL"/>
                <w:sz w:val="12"/>
              </w:rPr>
              <w:t>Mediant P.O. BOX 8016, CARY, NC 27512-9903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/>
            </w:pPr>
            <w:r>
              <w:rPr/>
              <w:drawing>
                <wp:inline distT="0" distB="0" distL="0" distR="0">
                  <wp:extent cx="3343275" cy="990600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5355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/>
            </w:pPr>
            <w:r>
              <w:rPr/>
              <w:drawing>
                <wp:inline distT="0" distB="0" distL="0" distR="0">
                  <wp:extent cx="3400425" cy="2781300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78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83"/>
        <w:gridCol w:w="101"/>
        <w:gridCol w:w="60"/>
        <w:gridCol w:w="100"/>
        <w:gridCol w:w="4161"/>
      </w:tblGrid>
      <w:tr>
        <w:trPr/>
        <w:tc>
          <w:tcPr>
            <w:tcW w:w="57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1020" w:hRule="atLeast"/>
        </w:trPr>
        <w:tc>
          <w:tcPr>
            <w:tcW w:w="57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1" w:type="dxa"/>
            <w:gridSpan w:val="2"/>
            <w:tcBorders>
              <w:right w:val="dotted" w:sz="8" w:space="0" w:color="CCCCCC"/>
            </w:tcBorders>
            <w:tcMar>
              <w:right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261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8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right w:val="dotted" w:sz="8" w:space="0" w:color="CCCCCC"/>
            </w:tcBorders>
            <w:tcMar>
              <w:right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783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Churchill Downs Incorporated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8"/>
              </w:rPr>
            </w:pPr>
            <w:r>
              <w:rPr>
                <w:rFonts w:ascii="ARIAL" w:hAnsi="ARIAL"/>
                <w:b/>
                <w:sz w:val="28"/>
              </w:rPr>
              <w:t>Annual Meeting of Shareholders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Tuesday, April 22, 2025 9:00 AM, Eastern Time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Annual Meeting to be held live via the Internet. Please visit www.proxydocs.com/CHDN for more details.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You must register to attend the meeting online and/or participate at www.proxydocs.com/CHDN</w:t>
            </w:r>
          </w:p>
          <w:p>
            <w:pPr>
              <w:pStyle w:val="TableContents"/>
              <w:pBdr>
                <w:bottom w:val="single" w:sz="16" w:space="1" w:color="000000"/>
              </w:pBdr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For a convenient way to view proxy materials, VOTE, and obtain directions to attend the meeting go to www.proxydocs.com/CHDN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To vote your proxy while visiting this site, you will need the 12 digit control number in the box below.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This communication presents only an overview of the more complete proxy materials that are available to you on the Internet. This is not a ballot. You cannot use this notice to vote your shares. We encourage you to access and review all of the important information contained in the proxy materials before voting.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Under United States Securities and Exchange Commission rules, proxy materials do not have to be delivered in paper. Proxy materials can be distributed by making them available on the internet.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If you want to receive a paper or e-mail copy of the proxy material, you must request one. There is no charge to you for requesting a copy. In order to receive a paper package in time for this years meeting, you must make this request on or before April 11, 2025.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>
              <w:right w:val="dotted" w:sz="8" w:space="0" w:color="CCCCCC"/>
            </w:tcBorders>
            <w:tcMar>
              <w:right w:w="28" w:type="dxa"/>
            </w:tcMar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00" w:type="dxa"/>
            <w:tcBorders>
              <w:left w:val="dotted" w:sz="2" w:space="0" w:color="000000"/>
            </w:tcBorders>
            <w:tcMar>
              <w:left w:w="28" w:type="dxa"/>
            </w:tcMar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61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Meeting Materials:</w:t>
            </w:r>
            <w:r>
              <w:rPr>
                <w:rFonts w:ascii="ARIAL" w:hAnsi="ARIAL"/>
                <w:sz w:val="16"/>
              </w:rPr>
              <w:t xml:space="preserve"> Notice of Meeting and Proxy Statement &amp; Annual Report on Form 10-K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Important Notice Regarding the Availability of Proxy Materials for the Shareholders Meeting To Be Held On April 22, 2025 For Shareholders of record as of March 3, 2025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 order paper materials, use one of the following methods.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39052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Internet: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BD9F60"/>
                <w:sz w:val="20"/>
              </w:rPr>
            </w:pPr>
            <w:r>
              <w:rPr>
                <w:rFonts w:ascii="ARIAL" w:hAnsi="ARIAL"/>
                <w:b/>
                <w:color w:val="BD9F60"/>
                <w:sz w:val="20"/>
              </w:rPr>
              <w:t>www.investorelections.com/CHDN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71475" cy="4476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Call: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BD9F60"/>
                <w:sz w:val="20"/>
              </w:rPr>
            </w:pPr>
            <w:r>
              <w:rPr>
                <w:rFonts w:ascii="ARIAL" w:hAnsi="ARIAL"/>
                <w:b/>
                <w:color w:val="BD9F60"/>
                <w:sz w:val="20"/>
              </w:rPr>
              <w:t>1-866-648-8133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57200" cy="46672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66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Email:</w:t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b/>
                <w:color w:val="BD9F60"/>
                <w:sz w:val="20"/>
              </w:rPr>
            </w:pPr>
            <w:r>
              <w:rPr>
                <w:rFonts w:ascii="ARIAL" w:hAnsi="ARIAL"/>
                <w:b/>
                <w:color w:val="BD9F60"/>
                <w:sz w:val="20"/>
              </w:rPr>
              <w:t>paper@investorelections.com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p>
            <w:pPr>
              <w:pStyle w:val="TableContents"/>
              <w:bidi w:val="0"/>
              <w:spacing w:before="0" w:after="20"/>
              <w:jc w:val="left"/>
              <w:rPr>
                <w:rFonts w:ascii="ARIAL" w:hAnsi="ARIAL"/>
                <w:sz w:val="12"/>
              </w:rPr>
            </w:pPr>
            <w:r>
              <w:rPr>
                <w:rFonts w:ascii="ARIAL" w:hAnsi="ARIAL"/>
                <w:sz w:val="12"/>
              </w:rPr>
              <w:t>* If requesting material by e-mail, please send a blank e-mail with the 12 digit control number (located below) in the subject line. No other requests, instructions OR other inquiries should be included with your e-mail requesting material.</w:t>
            </w:r>
          </w:p>
        </w:tc>
      </w:tr>
      <w:tr>
        <w:trPr/>
        <w:tc>
          <w:tcPr>
            <w:tcW w:w="10205" w:type="dxa"/>
            <w:gridSpan w:val="5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                                      </w:t>
            </w:r>
            <w:r>
              <w:rPr/>
              <w:drawing>
                <wp:inline distT="0" distB="0" distL="0" distR="0">
                  <wp:extent cx="2419350" cy="50482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9350" cy="504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</w:tr>
      <w:tr>
        <w:trPr/>
        <w:tc>
          <w:tcPr>
            <w:tcW w:w="578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61" w:type="dxa"/>
            <w:tcBorders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" w:hAnsi="ARIAL"/>
                <w:sz w:val="14"/>
              </w:rPr>
            </w:pPr>
            <w:r>
              <w:rPr>
                <w:rFonts w:ascii="ARIAL" w:hAnsi="ARIAL"/>
                <w:sz w:val="14"/>
              </w:rPr>
              <w:t>Have the 12 digit control number located in the</w:t>
              <w:br/>
              <w:t>box above available when you access the</w:t>
              <w:br/>
              <w:t>website and follow the instructions.</w:t>
            </w:r>
          </w:p>
        </w:tc>
      </w:tr>
      <w:tr>
        <w:trPr/>
        <w:tc>
          <w:tcPr>
            <w:tcW w:w="5783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SEE REVERSE FOR FULL AGENDA</w:t>
            </w:r>
          </w:p>
        </w:tc>
        <w:tc>
          <w:tcPr>
            <w:tcW w:w="101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6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4161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240" w:hRule="atLeast"/>
        </w:trPr>
        <w:tc>
          <w:tcPr>
            <w:tcW w:w="10205" w:type="dxa"/>
            <w:gridSpan w:val="5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5"/>
            <w:tcBorders/>
          </w:tcPr>
          <w:p>
            <w:pPr>
              <w:pStyle w:val="TableContents"/>
              <w:bidi w:val="0"/>
              <w:spacing w:before="0" w:after="283"/>
              <w:jc w:val="right"/>
              <w:rPr>
                <w:sz w:val="16"/>
              </w:rPr>
            </w:pPr>
            <w:r>
              <w:rPr>
                <w:sz w:val="16"/>
              </w:rPr>
              <w:t xml:space="preserve">Copyright </w:t>
            </w:r>
            <w:r>
              <w:rPr>
                <w:rFonts w:ascii="Times New Roman" w:hAnsi="Times New Roman"/>
                <w:sz w:val="16"/>
              </w:rPr>
              <w:t>©</w:t>
            </w:r>
            <w:r>
              <w:rPr>
                <w:sz w:val="16"/>
              </w:rPr>
              <w:t xml:space="preserve"> 2025 BetaNXT, Inc. or its affiliates. All Rights Reserved</w:t>
            </w:r>
          </w:p>
        </w:tc>
      </w:tr>
    </w:tbl>
    <w:p>
      <w:pPr>
        <w:pStyle w:val="HorizontalLine"/>
        <w:pBdr>
          <w:bottom w:val="double" w:sz="6" w:space="0" w:color="808080"/>
        </w:pBdr>
        <w:bidi w:val="0"/>
        <w:jc w:val="left"/>
        <w:rPr/>
      </w:pPr>
      <w:r>
        <w:br w:type="page"/>
      </w:r>
      <w:r>
        <w:rPr/>
      </w:r>
    </w:p>
    <w:p>
      <w:pPr>
        <w:pStyle w:val="Heading5"/>
        <w:bidi w:val="0"/>
        <w:jc w:val="left"/>
        <w:rPr/>
      </w:pPr>
      <w:hyperlink w:anchor="toc">
        <w:r>
          <w:rPr>
            <w:rStyle w:val="InternetLink"/>
            <w:b/>
            <w:sz w:val="20"/>
          </w:rPr>
          <w:t>Table of Contents</w:t>
        </w:r>
      </w:hyperlink>
    </w:p>
    <w:tbl>
      <w:tblPr>
        <w:tblW w:w="11278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470"/>
        <w:gridCol w:w="120"/>
        <w:gridCol w:w="23"/>
        <w:gridCol w:w="120"/>
        <w:gridCol w:w="6545"/>
      </w:tblGrid>
      <w:tr>
        <w:trPr/>
        <w:tc>
          <w:tcPr>
            <w:tcW w:w="4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70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2838450" cy="4857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84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 </w:t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2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6545" w:type="dxa"/>
            <w:tcBorders/>
          </w:tcPr>
          <w:p>
            <w:pPr>
              <w:pStyle w:val="TableContents"/>
              <w:bidi w:val="0"/>
              <w:spacing w:before="0" w:after="283"/>
              <w:jc w:val="right"/>
              <w:rPr>
                <w:b/>
              </w:rPr>
            </w:pPr>
            <w:r>
              <w:rPr>
                <w:b/>
              </w:rPr>
              <w:t>Churchill Downs Incorporated Annual Meeting of Shareholders</w:t>
            </w:r>
          </w:p>
        </w:tc>
      </w:tr>
    </w:tbl>
    <w:p>
      <w:pPr>
        <w:pStyle w:val="TextBody"/>
        <w:bidi w:val="0"/>
        <w:spacing w:before="240" w:after="0"/>
        <w:jc w:val="left"/>
        <w:rPr>
          <w:rFonts w:ascii="ARIAL" w:hAnsi="ARIAL"/>
          <w:sz w:val="16"/>
        </w:rPr>
      </w:pPr>
      <w:r>
        <w:rPr>
          <w:rFonts w:ascii="ARIAL" w:hAnsi="ARIAL"/>
          <w:b/>
          <w:sz w:val="16"/>
        </w:rPr>
        <w:t>THE BOARD OF DIRECTORS RECOMMENDS A VOTE:</w:t>
      </w:r>
      <w:r>
        <w:rPr>
          <w:rFonts w:ascii="ARIAL" w:hAnsi="ARIAL"/>
          <w:sz w:val="16"/>
        </w:rPr>
        <w:t xml:space="preserve"> </w:t>
      </w:r>
    </w:p>
    <w:p>
      <w:pPr>
        <w:pStyle w:val="TextBody"/>
        <w:bidi w:val="0"/>
        <w:spacing w:before="0" w:after="0"/>
        <w:jc w:val="left"/>
        <w:rPr/>
      </w:pPr>
      <w:r>
        <w:rPr/>
        <w:t>   </w:t>
      </w:r>
      <w:r>
        <w:rPr>
          <w:rFonts w:ascii="ARIAL" w:hAnsi="ARIAL"/>
          <w:b/>
          <w:sz w:val="16"/>
        </w:rPr>
        <w:t>FOR</w:t>
      </w:r>
      <w:r>
        <w:rPr>
          <w:rFonts w:ascii="ARIAL" w:hAnsi="ARIAL"/>
          <w:sz w:val="16"/>
        </w:rPr>
        <w:t xml:space="preserve"> ON PROPOSALS 1, 2, 3 AND 4 </w:t>
      </w:r>
    </w:p>
    <w:p>
      <w:pPr>
        <w:pStyle w:val="TextBody"/>
        <w:bidi w:val="0"/>
        <w:spacing w:before="0" w:after="0"/>
        <w:jc w:val="left"/>
        <w:rPr/>
      </w:pPr>
      <w:r>
        <w:rPr/>
        <w:t> 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19"/>
        <w:gridCol w:w="123"/>
        <w:gridCol w:w="9763"/>
      </w:tblGrid>
      <w:tr>
        <w:trPr/>
        <w:tc>
          <w:tcPr>
            <w:tcW w:w="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>
          <w:trHeight w:val="75" w:hRule="atLeast"/>
        </w:trPr>
        <w:tc>
          <w:tcPr>
            <w:tcW w:w="319" w:type="dxa"/>
            <w:tcBorders/>
            <w:shd w:fill="CCCCCC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6" w:type="dxa"/>
            <w:gridSpan w:val="2"/>
            <w:tcBorders/>
            <w:shd w:fill="CCCCCC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" w:type="dxa"/>
            <w:tcBorders/>
            <w:shd w:fill="CCCCCC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" w:type="dxa"/>
            <w:tcBorders/>
            <w:shd w:fill="CCCCCC" w:val="clear"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3" w:type="dxa"/>
            <w:tcBorders/>
            <w:shd w:fill="CCCCCC" w:val="clea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PROPOSAL</w:t>
            </w:r>
          </w:p>
        </w:tc>
      </w:tr>
      <w:tr>
        <w:trPr>
          <w:trHeight w:val="75" w:hRule="atLeast"/>
        </w:trPr>
        <w:tc>
          <w:tcPr>
            <w:tcW w:w="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</w:t>
            </w:r>
          </w:p>
        </w:tc>
        <w:tc>
          <w:tcPr>
            <w:tcW w:w="12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Election of Class II Directors</w:t>
            </w:r>
          </w:p>
        </w:tc>
      </w:tr>
      <w:tr>
        <w:trPr>
          <w:trHeight w:val="120" w:hRule="atLeast"/>
        </w:trPr>
        <w:tc>
          <w:tcPr>
            <w:tcW w:w="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1.01 R. Alex Rankin</w:t>
            </w:r>
          </w:p>
        </w:tc>
      </w:tr>
      <w:tr>
        <w:trPr>
          <w:trHeight w:val="120" w:hRule="atLeast"/>
        </w:trPr>
        <w:tc>
          <w:tcPr>
            <w:tcW w:w="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1.02 Andréa Carter</w:t>
            </w:r>
          </w:p>
        </w:tc>
      </w:tr>
      <w:tr>
        <w:trPr>
          <w:trHeight w:val="240" w:hRule="atLeast"/>
        </w:trPr>
        <w:tc>
          <w:tcPr>
            <w:tcW w:w="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2.</w:t>
            </w:r>
          </w:p>
        </w:tc>
        <w:tc>
          <w:tcPr>
            <w:tcW w:w="12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ratify the appointment of PricewaterhouseCoopers LLP as the Companys independent registered public accounting firm for fiscal year 2025.</w:t>
            </w:r>
          </w:p>
        </w:tc>
      </w:tr>
      <w:tr>
        <w:trPr>
          <w:trHeight w:val="240" w:hRule="atLeast"/>
        </w:trPr>
        <w:tc>
          <w:tcPr>
            <w:tcW w:w="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3.</w:t>
            </w:r>
          </w:p>
        </w:tc>
        <w:tc>
          <w:tcPr>
            <w:tcW w:w="12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approve the Churchill Downs Incorporated 2025 Omnibus Stock and Incentive Plan.</w:t>
            </w:r>
          </w:p>
        </w:tc>
      </w:tr>
      <w:tr>
        <w:trPr>
          <w:trHeight w:val="240" w:hRule="atLeast"/>
        </w:trPr>
        <w:tc>
          <w:tcPr>
            <w:tcW w:w="3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86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9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4.</w:t>
            </w:r>
          </w:p>
        </w:tc>
        <w:tc>
          <w:tcPr>
            <w:tcW w:w="123" w:type="dxa"/>
            <w:tcBorders/>
            <w:vAlign w:val="bottom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</w:t>
            </w:r>
          </w:p>
        </w:tc>
        <w:tc>
          <w:tcPr>
            <w:tcW w:w="9763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To approve, on a non-binding advisory basis, the Companys executive compensation as disclosed in the proxy statement.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r>
        <w:br w:type="page"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auto"/>
    <w:pitch w:val="default"/>
  </w:font>
  <w:font w:name="ARIAL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paragraph" w:styleId="Heading5">
    <w:name w:val="Heading 5"/>
    <w:basedOn w:val="Heading"/>
    <w:next w:val="TextBody"/>
    <w:qFormat/>
    <w:pPr>
      <w:numPr>
        <w:ilvl w:val="0"/>
        <w:numId w:val="0"/>
      </w:numPr>
      <w:spacing w:before="120" w:after="60"/>
      <w:outlineLvl w:val="4"/>
    </w:pPr>
    <w:rPr>
      <w:rFonts w:ascii="Liberation Serif" w:hAnsi="Liberation Serif" w:eastAsia="Tahoma" w:cs="Noto Sans Devanagari"/>
      <w:b/>
      <w:bCs/>
      <w:sz w:val="20"/>
      <w:szCs w:val="20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1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603</Words>
  <Characters>3201</Characters>
  <CharactersWithSpaces>3881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DEFA14A</dc:title>
</cp:coreProperties>
</file>