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22, 2026</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Churchill Downs Incorporated</w:t>
      </w:r>
    </w:p>
    <w:p>
      <w:pPr>
        <w:spacing w:after="0" w:line="24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680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60" w:type="dxa"/>
            <w:vAlign w:val="bottom"/>
          </w:tcPr>
          <w:p>
            <w:pPr>
              <w:spacing w:after="0"/>
              <w:rPr>
                <w:sz w:val="20"/>
                <w:szCs w:val="20"/>
                <w:color w:val="auto"/>
              </w:rPr>
            </w:pPr>
          </w:p>
        </w:tc>
      </w:tr>
      <w:tr>
        <w:trPr>
          <w:trHeight w:val="257"/>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Kentucky</w:t>
            </w:r>
          </w:p>
        </w:tc>
        <w:tc>
          <w:tcPr>
            <w:tcW w:w="29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001-33998</w:t>
            </w:r>
          </w:p>
        </w:tc>
        <w:tc>
          <w:tcPr>
            <w:tcW w:w="2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61-0156015</w:t>
            </w:r>
          </w:p>
        </w:tc>
      </w:tr>
      <w:tr>
        <w:trPr>
          <w:trHeight w:val="257"/>
        </w:trPr>
        <w:tc>
          <w:tcPr>
            <w:tcW w:w="3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10"/>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600 North Hurstbourne Parkway, Suite 400</w:t>
            </w:r>
          </w:p>
        </w:tc>
        <w:tc>
          <w:tcPr>
            <w:tcW w:w="29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79"/>
        </w:trPr>
        <w:tc>
          <w:tcPr>
            <w:tcW w:w="38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Louisville , Kentucky</w:t>
            </w:r>
          </w:p>
        </w:tc>
        <w:tc>
          <w:tcPr>
            <w:tcW w:w="2980" w:type="dxa"/>
            <w:vAlign w:val="bottom"/>
          </w:tcPr>
          <w:p>
            <w:pPr>
              <w:spacing w:after="0"/>
              <w:rPr>
                <w:sz w:val="24"/>
                <w:szCs w:val="24"/>
                <w:color w:val="auto"/>
              </w:rPr>
            </w:pP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34"/>
        </w:trPr>
        <w:tc>
          <w:tcPr>
            <w:tcW w:w="3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80" w:type="dxa"/>
            <w:vAlign w:val="bottom"/>
          </w:tcPr>
          <w:p>
            <w:pPr>
              <w:spacing w:after="0"/>
              <w:rPr>
                <w:sz w:val="20"/>
                <w:szCs w:val="20"/>
                <w:color w:val="auto"/>
              </w:rPr>
            </w:pPr>
          </w:p>
        </w:tc>
        <w:tc>
          <w:tcPr>
            <w:tcW w:w="2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(502)-636-4400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right="70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 LLC</w:t>
            </w:r>
          </w:p>
        </w:tc>
      </w:tr>
    </w:tbl>
    <w:p>
      <w:pPr>
        <w:spacing w:after="0" w:line="225" w:lineRule="exact"/>
        <w:rPr>
          <w:sz w:val="24"/>
          <w:szCs w:val="24"/>
          <w:color w:val="auto"/>
        </w:rPr>
      </w:pPr>
    </w:p>
    <w:p>
      <w:pPr>
        <w:ind w:left="40" w:right="50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jc w:val="right"/>
        <w:ind w:righ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0780" w:type="dxa"/>
            <w:vAlign w:val="bottom"/>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31" w:right="31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copy of the news release issued by Churchill Downs Incorporated (the "Company") on April 22, 2026 announcing the results of operations and financial condition for the three months ended March 31, 2026 is attached hereto as Exhibit 99.1 and incorporated by reference herein.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provided pursuant to this Item 2.02, including Exhibit 99.1, is being furnished and shall not be deemed "filed" for purposes of Section 18 of the Securities Exchange Act of 1934, as amended (the "Exchange Act") or otherwise subject to the liabilities under that Section and shall not be deemed incorporated by reference into any filing of the Company under the Securities Act of 1933, as amended, or the Exchange Act, except as shall be expressly set forth by specific reference in any such filing.</w:t>
      </w:r>
    </w:p>
    <w:p>
      <w:pPr>
        <w:spacing w:after="0" w:line="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54" w:lineRule="exact"/>
        <w:rPr>
          <w:sz w:val="20"/>
          <w:szCs w:val="20"/>
          <w:color w:val="auto"/>
        </w:rPr>
      </w:pPr>
    </w:p>
    <w:p>
      <w:pPr>
        <w:ind w:left="1760" w:hanging="1262"/>
        <w:spacing w:after="0"/>
        <w:tabs>
          <w:tab w:leader="none" w:pos="1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being furnished as an exhibit to the Current Report on Form 8-K.</w:t>
      </w:r>
    </w:p>
    <w:p>
      <w:pPr>
        <w:sectPr>
          <w:pgSz w:w="11900" w:h="16838" w:orient="portrait"/>
          <w:cols w:equalWidth="0" w:num="1">
            <w:col w:w="11240"/>
          </w:cols>
          <w:pgMar w:left="320" w:top="887" w:right="339" w:bottom="1440" w:gutter="0" w:footer="0" w:header="0"/>
        </w:sectPr>
      </w:pPr>
    </w:p>
    <w:p>
      <w:pPr>
        <w:spacing w:after="0" w:line="27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7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745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99.1</w:t>
      </w:r>
    </w:p>
    <w:p>
      <w:pPr>
        <w:spacing w:after="0" w:line="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906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20" w:lineRule="exact"/>
        <w:rPr>
          <w:sz w:val="20"/>
          <w:szCs w:val="20"/>
          <w:color w:val="auto"/>
        </w:rPr>
      </w:pPr>
    </w:p>
    <w:p>
      <w:pPr>
        <w:ind w:right="3700"/>
        <w:spacing w:after="0" w:line="313" w:lineRule="auto"/>
        <w:rPr>
          <w:sz w:val="20"/>
          <w:szCs w:val="20"/>
          <w:color w:val="auto"/>
        </w:rPr>
      </w:pPr>
      <w:r>
        <w:rPr>
          <w:rFonts w:ascii="Times New Roman" w:cs="Times New Roman" w:eastAsia="Times New Roman" w:hAnsi="Times New Roman"/>
          <w:sz w:val="18"/>
          <w:szCs w:val="18"/>
          <w:color w:val="auto"/>
        </w:rPr>
        <w:t>Press Release dated April 22, 2026 issued by Churchill Downs Incorporated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1087755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80" w:space="380"/>
            <w:col w:w="9480"/>
          </w:cols>
          <w:pgMar w:left="320" w:top="887" w:right="339" w:bottom="1440" w:gutter="0" w:footer="0" w:header="0"/>
          <w:type w:val="continuous"/>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ind w:left="4980" w:right="4540" w:hanging="4117"/>
        <w:spacing w:after="0" w:line="273" w:lineRule="auto"/>
        <w:tabs>
          <w:tab w:leader="none" w:pos="4960" w:val="left"/>
        </w:tabs>
        <w:rPr>
          <w:sz w:val="20"/>
          <w:szCs w:val="20"/>
          <w:color w:val="auto"/>
        </w:rPr>
      </w:pPr>
      <w:r>
        <w:rPr>
          <w:rFonts w:ascii="Times New Roman" w:cs="Times New Roman" w:eastAsia="Times New Roman" w:hAnsi="Times New Roman"/>
          <w:sz w:val="18"/>
          <w:szCs w:val="18"/>
          <w:color w:val="auto"/>
        </w:rPr>
        <w:t>April 22, 2026</w:t>
      </w:r>
      <w:r>
        <w:rPr>
          <w:sz w:val="20"/>
          <w:szCs w:val="20"/>
          <w:color w:val="auto"/>
        </w:rPr>
        <w:tab/>
      </w:r>
      <w:r>
        <w:rPr>
          <w:rFonts w:ascii="Times New Roman" w:cs="Times New Roman" w:eastAsia="Times New Roman" w:hAnsi="Times New Roman"/>
          <w:sz w:val="18"/>
          <w:szCs w:val="18"/>
          <w:color w:val="auto"/>
        </w:rPr>
        <w:t>/s/ Marcia A. Dall By: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-152400</wp:posOffset>
            </wp:positionV>
            <wp:extent cx="3446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920"/>
          </w:cols>
          <w:pgMar w:left="320" w:top="887" w:right="6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418338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183380" cy="5829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Sam Ullrich</w:t>
      </w:r>
    </w:p>
    <w:p>
      <w:pPr>
        <w:spacing w:after="0" w:line="9" w:lineRule="exact"/>
        <w:rPr>
          <w:sz w:val="20"/>
          <w:szCs w:val="20"/>
          <w:color w:val="auto"/>
        </w:rPr>
      </w:pPr>
    </w:p>
    <w:p>
      <w:pPr>
        <w:ind w:right="926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638-3906 Sam.Ullrich@kyderby.com</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CHURCHILL DOWNS INCORPORATED REPORTS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2026 FIRST QUARTER RESULTS</w:t>
      </w:r>
    </w:p>
    <w:p>
      <w:pPr>
        <w:spacing w:after="0" w:line="7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3"/>
          <w:szCs w:val="23"/>
          <w:b w:val="1"/>
          <w:bCs w:val="1"/>
          <w:color w:val="auto"/>
        </w:rPr>
        <w:t xml:space="preserve">LOUISVILLE, Ky. (April 22, 2026) </w:t>
      </w:r>
      <w:r>
        <w:rPr>
          <w:rFonts w:ascii="Times New Roman" w:cs="Times New Roman" w:eastAsia="Times New Roman" w:hAnsi="Times New Roman"/>
          <w:sz w:val="21"/>
          <w:szCs w:val="21"/>
          <w:color w:val="auto"/>
        </w:rPr>
        <w:t>- Churchill Downs Incorporated (Nasdaq: CHDN) (the "Company", "CDI", "we") today</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1"/>
          <w:szCs w:val="21"/>
          <w:color w:val="auto"/>
        </w:rPr>
        <w:t>reported business results for the quarter ended March 31,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Company Highlights</w:t>
      </w:r>
    </w:p>
    <w:p>
      <w:pPr>
        <w:spacing w:after="0" w:line="2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quarter 2026 financial results, as compared to the prior year quarter:</w:t>
      </w:r>
    </w:p>
    <w:p>
      <w:pPr>
        <w:ind w:left="1300" w:hanging="320"/>
        <w:spacing w:after="0" w:line="217"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net revenue of $663 million, up $20 million or 3%</w:t>
      </w:r>
    </w:p>
    <w:p>
      <w:pPr>
        <w:ind w:left="1300" w:hanging="320"/>
        <w:spacing w:after="0" w:line="230"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attributable to CDI of $83 million, up $6 million or 8%</w:t>
      </w:r>
    </w:p>
    <w:p>
      <w:pPr>
        <w:ind w:left="1300" w:hanging="320"/>
        <w:spacing w:after="0" w:line="217"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Record Adjusted EBITDA of $257 million, up $12 million or 5%</w:t>
      </w:r>
    </w:p>
    <w:p>
      <w:pPr>
        <w:ind w:left="660" w:right="20" w:hanging="328"/>
        <w:spacing w:after="0" w:line="230" w:lineRule="auto"/>
        <w:tabs>
          <w:tab w:leader="none" w:pos="6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January 12, 2026, CDI announced plans to invest $180-$200 million in Rockingham Grand Casino in Salem, New Hampshire, with a planned mid-2027 opening.</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25, 2026, CDI opened Marshall Yards Racing &amp; Gaming in Southwestern Kentucky.</w:t>
      </w:r>
    </w:p>
    <w:p>
      <w:pPr>
        <w:jc w:val="both"/>
        <w:ind w:left="660" w:hanging="328"/>
        <w:spacing w:after="0" w:line="217" w:lineRule="auto"/>
        <w:tabs>
          <w:tab w:leader="none" w:pos="6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April 21, 2026, CDI announced that it had entered into a definitive agreement to purchase the intellectual property, including all trademarks and associated rights, of the Preakness Stakes and Black-Eyed Susan Stakes from 1/ST Maryland LLC for a purchase price of $85 million.</w:t>
      </w:r>
    </w:p>
    <w:p>
      <w:pPr>
        <w:spacing w:after="0" w:line="2" w:lineRule="exact"/>
        <w:rPr>
          <w:rFonts w:ascii="Times New Roman" w:cs="Times New Roman" w:eastAsia="Times New Roman" w:hAnsi="Times New Roman"/>
          <w:sz w:val="22"/>
          <w:szCs w:val="22"/>
          <w:color w:val="auto"/>
        </w:rPr>
      </w:pPr>
    </w:p>
    <w:p>
      <w:pPr>
        <w:ind w:left="660" w:hanging="328"/>
        <w:spacing w:after="0" w:line="217" w:lineRule="auto"/>
        <w:tabs>
          <w:tab w:leader="none" w:pos="68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January 6, 2026, we paid a $0.438 per share dividend to shareholders of record as of December 5, 2025, which represents the fifteenth consecutive year of an increased dividend per share.</w:t>
      </w:r>
    </w:p>
    <w:p>
      <w:pPr>
        <w:spacing w:after="0" w:line="1" w:lineRule="exact"/>
        <w:rPr>
          <w:rFonts w:ascii="Times New Roman" w:cs="Times New Roman" w:eastAsia="Times New Roman" w:hAnsi="Times New Roman"/>
          <w:sz w:val="22"/>
          <w:szCs w:val="22"/>
          <w:color w:val="auto"/>
        </w:rPr>
      </w:pPr>
    </w:p>
    <w:p>
      <w:pPr>
        <w:ind w:left="660" w:hanging="328"/>
        <w:spacing w:after="0" w:line="231" w:lineRule="auto"/>
        <w:tabs>
          <w:tab w:leader="none" w:pos="66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ended first quarter of 2026 with net bank leverage of 3.8x and returned $31 million of capital to our shareholders through dividends.</w:t>
      </w:r>
    </w:p>
    <w:p>
      <w:pPr>
        <w:spacing w:after="0" w:line="3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668655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6550" cy="18859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First Quarter</w:t>
            </w:r>
          </w:p>
        </w:tc>
        <w:tc>
          <w:tcPr>
            <w:tcW w:w="1320" w:type="dxa"/>
            <w:vAlign w:val="bottom"/>
            <w:tcBorders>
              <w:bottom w:val="single" w:sz="8" w:color="auto"/>
            </w:tcBorders>
          </w:tcPr>
          <w:p>
            <w:pPr>
              <w:spacing w:after="0"/>
              <w:rPr>
                <w:sz w:val="24"/>
                <w:szCs w:val="24"/>
                <w:color w:val="auto"/>
              </w:rPr>
            </w:pPr>
          </w:p>
        </w:tc>
      </w:tr>
      <w:tr>
        <w:trPr>
          <w:trHeight w:val="264"/>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2026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303"/>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Net revenue</w:t>
            </w:r>
          </w:p>
        </w:tc>
        <w:tc>
          <w:tcPr>
            <w:tcW w:w="132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663</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643</w:t>
            </w:r>
          </w:p>
        </w:tc>
      </w:tr>
      <w:tr>
        <w:trPr>
          <w:trHeight w:val="250"/>
        </w:trPr>
        <w:tc>
          <w:tcPr>
            <w:tcW w:w="712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Net income attributable to CDI</w:t>
            </w:r>
          </w:p>
        </w:tc>
        <w:tc>
          <w:tcPr>
            <w:tcW w:w="1320" w:type="dxa"/>
            <w:vAlign w:val="bottom"/>
          </w:tcPr>
          <w:p>
            <w:pPr>
              <w:jc w:val="right"/>
              <w:ind w:right="109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83</w:t>
            </w:r>
          </w:p>
        </w:tc>
        <w:tc>
          <w:tcPr>
            <w:tcW w:w="120" w:type="dxa"/>
            <w:vAlign w:val="bottom"/>
          </w:tcPr>
          <w:p>
            <w:pPr>
              <w:spacing w:after="0"/>
              <w:rPr>
                <w:sz w:val="21"/>
                <w:szCs w:val="21"/>
                <w:color w:val="auto"/>
              </w:rPr>
            </w:pPr>
          </w:p>
        </w:tc>
        <w:tc>
          <w:tcPr>
            <w:tcW w:w="660" w:type="dxa"/>
            <w:vAlign w:val="bottom"/>
          </w:tcPr>
          <w:p>
            <w:pPr>
              <w:jc w:val="right"/>
              <w:ind w:right="4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77</w:t>
            </w:r>
          </w:p>
        </w:tc>
      </w:tr>
      <w:tr>
        <w:trPr>
          <w:trHeight w:val="283"/>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Diluted EPS attributable to CDI</w:t>
            </w:r>
          </w:p>
        </w:tc>
        <w:tc>
          <w:tcPr>
            <w:tcW w:w="132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45"/>
        </w:trPr>
        <w:tc>
          <w:tcPr>
            <w:tcW w:w="7120" w:type="dxa"/>
            <w:vAlign w:val="bottom"/>
          </w:tcPr>
          <w:p>
            <w:pPr>
              <w:ind w:left="20"/>
              <w:spacing w:after="0" w:line="245" w:lineRule="exact"/>
              <w:rPr>
                <w:sz w:val="20"/>
                <w:szCs w:val="20"/>
                <w:color w:val="auto"/>
              </w:rPr>
            </w:pPr>
            <w:r>
              <w:rPr>
                <w:rFonts w:ascii="Times New Roman" w:cs="Times New Roman" w:eastAsia="Times New Roman" w:hAnsi="Times New Roman"/>
                <w:sz w:val="22"/>
                <w:szCs w:val="22"/>
                <w:color w:val="auto"/>
              </w:rPr>
              <w:t>Adjusted net income attributable to CDI</w:t>
            </w:r>
            <w:r>
              <w:rPr>
                <w:rFonts w:ascii="Times New Roman" w:cs="Times New Roman" w:eastAsia="Times New Roman" w:hAnsi="Times New Roman"/>
                <w:sz w:val="28"/>
                <w:szCs w:val="28"/>
                <w:color w:val="auto"/>
                <w:vertAlign w:val="superscript"/>
              </w:rPr>
              <w:t>(a)</w:t>
            </w:r>
          </w:p>
        </w:tc>
        <w:tc>
          <w:tcPr>
            <w:tcW w:w="1320" w:type="dxa"/>
            <w:vAlign w:val="bottom"/>
          </w:tcPr>
          <w:p>
            <w:pPr>
              <w:jc w:val="right"/>
              <w:ind w:right="1092"/>
              <w:spacing w:after="0" w:line="245" w:lineRule="exact"/>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85</w:t>
            </w:r>
          </w:p>
        </w:tc>
        <w:tc>
          <w:tcPr>
            <w:tcW w:w="120" w:type="dxa"/>
            <w:vAlign w:val="bottom"/>
          </w:tcPr>
          <w:p>
            <w:pPr>
              <w:spacing w:after="0"/>
              <w:rPr>
                <w:sz w:val="21"/>
                <w:szCs w:val="21"/>
                <w:color w:val="auto"/>
              </w:rPr>
            </w:pPr>
          </w:p>
        </w:tc>
        <w:tc>
          <w:tcPr>
            <w:tcW w:w="660" w:type="dxa"/>
            <w:vAlign w:val="bottom"/>
          </w:tcPr>
          <w:p>
            <w:pPr>
              <w:jc w:val="right"/>
              <w:ind w:right="432"/>
              <w:spacing w:after="0" w:line="245" w:lineRule="exact"/>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line="245" w:lineRule="exact"/>
              <w:rPr>
                <w:sz w:val="20"/>
                <w:szCs w:val="20"/>
                <w:color w:val="auto"/>
              </w:rPr>
            </w:pPr>
            <w:r>
              <w:rPr>
                <w:rFonts w:ascii="Times New Roman" w:cs="Times New Roman" w:eastAsia="Times New Roman" w:hAnsi="Times New Roman"/>
                <w:sz w:val="22"/>
                <w:szCs w:val="22"/>
                <w:color w:val="auto"/>
              </w:rPr>
              <w:t>80</w:t>
            </w:r>
          </w:p>
        </w:tc>
      </w:tr>
      <w:tr>
        <w:trPr>
          <w:trHeight w:val="270"/>
        </w:trPr>
        <w:tc>
          <w:tcPr>
            <w:tcW w:w="7120" w:type="dxa"/>
            <w:vAlign w:val="bottom"/>
          </w:tcPr>
          <w:p>
            <w:pPr>
              <w:ind w:left="20"/>
              <w:spacing w:after="0" w:line="270" w:lineRule="exact"/>
              <w:rPr>
                <w:sz w:val="20"/>
                <w:szCs w:val="20"/>
                <w:color w:val="auto"/>
              </w:rPr>
            </w:pPr>
            <w:r>
              <w:rPr>
                <w:rFonts w:ascii="Times New Roman" w:cs="Times New Roman" w:eastAsia="Times New Roman" w:hAnsi="Times New Roman"/>
                <w:sz w:val="22"/>
                <w:szCs w:val="22"/>
                <w:color w:val="auto"/>
              </w:rPr>
              <w:t>Adjusted Diluted EPS</w:t>
            </w:r>
            <w:r>
              <w:rPr>
                <w:rFonts w:ascii="Times New Roman" w:cs="Times New Roman" w:eastAsia="Times New Roman" w:hAnsi="Times New Roman"/>
                <w:sz w:val="28"/>
                <w:szCs w:val="28"/>
                <w:color w:val="auto"/>
                <w:vertAlign w:val="superscript"/>
              </w:rPr>
              <w:t>(a)</w:t>
            </w:r>
          </w:p>
        </w:tc>
        <w:tc>
          <w:tcPr>
            <w:tcW w:w="13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c>
          <w:tcPr>
            <w:tcW w:w="120" w:type="dxa"/>
            <w:vAlign w:val="bottom"/>
          </w:tcPr>
          <w:p>
            <w:pPr>
              <w:spacing w:after="0"/>
              <w:rPr>
                <w:sz w:val="23"/>
                <w:szCs w:val="23"/>
                <w:color w:val="auto"/>
              </w:rPr>
            </w:pP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359"/>
        </w:trPr>
        <w:tc>
          <w:tcPr>
            <w:tcW w:w="7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(a)</w:t>
            </w:r>
          </w:p>
        </w:tc>
        <w:tc>
          <w:tcPr>
            <w:tcW w:w="13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w w:val="9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w:t>
            </w:r>
          </w:p>
        </w:tc>
        <w:tc>
          <w:tcPr>
            <w:tcW w:w="120" w:type="dxa"/>
            <w:vAlign w:val="bottom"/>
          </w:tcPr>
          <w:p>
            <w:pPr>
              <w:spacing w:after="0"/>
              <w:rPr>
                <w:sz w:val="24"/>
                <w:szCs w:val="24"/>
                <w:color w:val="auto"/>
              </w:rPr>
            </w:pP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245</w:t>
            </w:r>
          </w:p>
        </w:tc>
      </w:tr>
    </w:tbl>
    <w:p>
      <w:pPr>
        <w:ind w:left="20"/>
        <w:spacing w:after="0"/>
        <w:rPr>
          <w:sz w:val="20"/>
          <w:szCs w:val="20"/>
          <w:color w:val="auto"/>
        </w:rPr>
      </w:pPr>
      <w:r>
        <w:rPr>
          <w:rFonts w:ascii="Times New Roman" w:cs="Times New Roman" w:eastAsia="Times New Roman" w:hAnsi="Times New Roman"/>
          <w:sz w:val="18"/>
          <w:szCs w:val="18"/>
          <w:color w:val="auto"/>
        </w:rPr>
        <w:t>(a) This is a non-GAAP measure. See explanation of non-GAAP measures below.</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9803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summaries below present revenue from external customers and intercompany revenue from each of our reportable segments.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are against the applicable prior year period unless otherwise noted.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Live and Historical Racing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First Quarter</w:t>
            </w:r>
          </w:p>
        </w:tc>
        <w:tc>
          <w:tcPr>
            <w:tcW w:w="1320" w:type="dxa"/>
            <w:vAlign w:val="bottom"/>
            <w:tcBorders>
              <w:bottom w:val="single" w:sz="8" w:color="auto"/>
            </w:tcBorders>
          </w:tcPr>
          <w:p>
            <w:pPr>
              <w:spacing w:after="0"/>
              <w:rPr>
                <w:sz w:val="24"/>
                <w:szCs w:val="24"/>
                <w:color w:val="auto"/>
              </w:rPr>
            </w:pPr>
          </w:p>
        </w:tc>
      </w:tr>
      <w:tr>
        <w:trPr>
          <w:trHeight w:val="264"/>
        </w:trPr>
        <w:tc>
          <w:tcPr>
            <w:tcW w:w="7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90"/>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301</w:t>
            </w:r>
          </w:p>
        </w:tc>
        <w:tc>
          <w:tcPr>
            <w:tcW w:w="120" w:type="dxa"/>
            <w:vAlign w:val="bottom"/>
          </w:tcPr>
          <w:p>
            <w:pPr>
              <w:spacing w:after="0"/>
              <w:rPr>
                <w:sz w:val="24"/>
                <w:szCs w:val="24"/>
                <w:color w:val="auto"/>
              </w:rPr>
            </w:pP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277</w:t>
            </w:r>
          </w:p>
        </w:tc>
      </w:tr>
      <w:tr>
        <w:trPr>
          <w:trHeight w:val="282"/>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bl>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First quarter 2026 revenue increased $24 million due to a $17 million increase from our Kentucky HRM venues, a $5 million increase from our Virginia HRM venues, and a $3 million increase from our New Hampshire venues, partially offset by a $1 million decrease from Churchill Downs Racetrack. The Kentucky HRM increase was due to a $6 million increase from our Western Kentucky venues, a $4 million increase from our Northern Kentucky venues, a $4 million increase from our Southwestern Kentucky venues, and a $3 million increase from our Louisville venues. The Virginia HRM increase was primarily due to a $5 million net increase from our Northern Virginia venues and a $1 million increase from our Western Virginia venue, partially offset by a $1 million net decrease from our Central Virginia venues primarily from increased competition and unfavorable weather.</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First quarter 2026 Adjusted EBITDA increased $11 million due to a $9 million increase from our Kentucky HRM venues, a $3 million net increase from our Virginia HRM venues, and a $1 million net increase from our New Hampshire venues, partially offset by a $2 million decrease at Churchill Downs Racetrack. The Kentucky HRM increase was due to a $3 million increase from our Western Kentucky venues, a $3 million increase from our Northern Kentucky venues, and a $3 million increase from our Louisville venues. The Virginia HRM increase was primarily due to a $7 million net increase from our Northern Virginia venues, partially offset by a $4 million net decrease from our Central Virginia venues primarily from increased competition and unfavorable weather.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Wagering Services and Solutions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First Quarter</w:t>
            </w:r>
          </w:p>
        </w:tc>
        <w:tc>
          <w:tcPr>
            <w:tcW w:w="1320" w:type="dxa"/>
            <w:vAlign w:val="bottom"/>
            <w:tcBorders>
              <w:bottom w:val="single" w:sz="8" w:color="auto"/>
            </w:tcBorders>
          </w:tcPr>
          <w:p>
            <w:pPr>
              <w:spacing w:after="0"/>
              <w:rPr>
                <w:sz w:val="24"/>
                <w:szCs w:val="24"/>
                <w:color w:val="auto"/>
              </w:rPr>
            </w:pPr>
          </w:p>
        </w:tc>
      </w:tr>
      <w:tr>
        <w:trPr>
          <w:trHeight w:val="264"/>
        </w:trPr>
        <w:tc>
          <w:tcPr>
            <w:tcW w:w="7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90"/>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c>
          <w:tcPr>
            <w:tcW w:w="120" w:type="dxa"/>
            <w:vAlign w:val="bottom"/>
          </w:tcPr>
          <w:p>
            <w:pPr>
              <w:spacing w:after="0"/>
              <w:rPr>
                <w:sz w:val="24"/>
                <w:szCs w:val="24"/>
                <w:color w:val="auto"/>
              </w:rPr>
            </w:pP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82"/>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quarter 2026 revenue increased $2 million primarily from our retail sports betting business.</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First quarter 2026 Adjusted EBITDA increased $4 million primarily from lower legal expenses in our Horse Racing business and growth in our retail sports betting 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Gaming</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7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First Quarter</w:t>
            </w:r>
          </w:p>
        </w:tc>
        <w:tc>
          <w:tcPr>
            <w:tcW w:w="1320" w:type="dxa"/>
            <w:vAlign w:val="bottom"/>
            <w:tcBorders>
              <w:bottom w:val="single" w:sz="8" w:color="auto"/>
            </w:tcBorders>
          </w:tcPr>
          <w:p>
            <w:pPr>
              <w:spacing w:after="0"/>
              <w:rPr>
                <w:sz w:val="24"/>
                <w:szCs w:val="24"/>
                <w:color w:val="auto"/>
              </w:rPr>
            </w:pPr>
          </w:p>
        </w:tc>
      </w:tr>
      <w:tr>
        <w:trPr>
          <w:trHeight w:val="264"/>
        </w:trPr>
        <w:tc>
          <w:tcPr>
            <w:tcW w:w="7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90"/>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w:t>
            </w:r>
          </w:p>
        </w:tc>
        <w:tc>
          <w:tcPr>
            <w:tcW w:w="120" w:type="dxa"/>
            <w:vAlign w:val="bottom"/>
          </w:tcPr>
          <w:p>
            <w:pPr>
              <w:spacing w:after="0"/>
              <w:rPr>
                <w:sz w:val="24"/>
                <w:szCs w:val="24"/>
                <w:color w:val="auto"/>
              </w:rPr>
            </w:pP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267</w:t>
            </w:r>
          </w:p>
        </w:tc>
      </w:tr>
      <w:tr>
        <w:trPr>
          <w:trHeight w:val="282"/>
        </w:trPr>
        <w:tc>
          <w:tcPr>
            <w:tcW w:w="7100" w:type="dxa"/>
            <w:vAlign w:val="bottom"/>
          </w:tcPr>
          <w:p>
            <w:pPr>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0" w:right="339" w:bottom="1440" w:gutter="0" w:footer="0" w:header="0"/>
        </w:sectPr>
      </w:pPr>
    </w:p>
    <w:bookmarkStart w:id="5" w:name="page6"/>
    <w:bookmarkEnd w:id="5"/>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First quarter 2026 revenue decreased $5 million due to a $9 million decrease primarily from the cessation of HRM operations in Louisiana in May 2025 and a $2 million decrease primarily from our Florida and Mississippi properties. These decreases were partially offset by a $6 million increase primarily from our New York, Indiana, and Maryland properties.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First quarter 2026 Adjusted EBITDA decreased $1 million. Our wholly-owned gaming properties decreased $3 million primarily from the cessation of HRMs in Louisiana in May 2025 that was partially offset by an increase from our New York property. Our equity investments increased $2 million from strong performance at Rivers Des Plaines in Illinois and Miami Valley Gaming in Ohio.</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All Other</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22"/>
                <w:szCs w:val="22"/>
                <w:i w:val="1"/>
                <w:iCs w:val="1"/>
                <w:color w:val="auto"/>
              </w:rPr>
              <w:t>(in millions)</w:t>
            </w: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First Quarter</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20" w:type="dxa"/>
            <w:vAlign w:val="bottom"/>
            <w:vMerge w:val="continue"/>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b w:val="1"/>
                <w:bCs w:val="1"/>
                <w:color w:val="auto"/>
              </w:rPr>
              <w:t>2026</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0" w:type="dxa"/>
            <w:vAlign w:val="bottom"/>
          </w:tcPr>
          <w:p>
            <w:pPr>
              <w:spacing w:after="0"/>
              <w:rPr>
                <w:sz w:val="1"/>
                <w:szCs w:val="1"/>
                <w:color w:val="auto"/>
              </w:rPr>
            </w:pPr>
          </w:p>
        </w:tc>
      </w:tr>
      <w:tr>
        <w:trPr>
          <w:trHeight w:val="290"/>
        </w:trPr>
        <w:tc>
          <w:tcPr>
            <w:tcW w:w="7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Revenue</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Pr>
          <w:p>
            <w:pPr>
              <w:spacing w:after="0"/>
              <w:rPr>
                <w:sz w:val="24"/>
                <w:szCs w:val="24"/>
                <w:color w:val="auto"/>
              </w:rPr>
            </w:pPr>
          </w:p>
        </w:tc>
        <w:tc>
          <w:tcPr>
            <w:tcW w:w="66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82"/>
        </w:trPr>
        <w:tc>
          <w:tcPr>
            <w:tcW w:w="7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Adjusted EBITDA</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quarter 2026 revenue is consistent with the prior year. All intercompany captive revenue is eliminated in consolidation.</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First quarter 2026 Adjusted EBITDA decreased $2 million primarily due to claim development within our captive insurance company.</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NET INCOME ATTRIBUTABLE TO CDI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0980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1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Company's first quarter 2026 net income attributable to CDI was $83 million compared to $77 million in the prior year quarter.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factors impacted the comparability of the Company's first quarter 2026 net income to the prior year quarter:</w:t>
      </w:r>
    </w:p>
    <w:p>
      <w:pPr>
        <w:spacing w:after="0" w:line="98" w:lineRule="exact"/>
        <w:rPr>
          <w:sz w:val="20"/>
          <w:szCs w:val="20"/>
          <w:color w:val="auto"/>
        </w:rPr>
      </w:pPr>
    </w:p>
    <w:p>
      <w:pPr>
        <w:ind w:right="5180" w:firstLine="332"/>
        <w:spacing w:after="0" w:line="339" w:lineRule="auto"/>
        <w:tabs>
          <w:tab w:leader="none" w:pos="64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$3 million after-tax decrease in other charges and recoveries. This was partially offset by:</w:t>
      </w: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$2 million after-tax increase in transaction, pre-opening, and other expenses.</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Excluding the items above, first quarter 2026 adjusted net income attributable to CDI increased $5 million primarily due to the following:</w:t>
      </w:r>
    </w:p>
    <w:p>
      <w:pPr>
        <w:spacing w:after="0" w:line="5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$3 million after-tax increase primarily driven by the results of our operations;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$2 million after-tax increase in equity income from our unconsolidated affiliates.</w:t>
      </w:r>
    </w:p>
    <w:p>
      <w:pPr>
        <w:spacing w:after="0" w:line="10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Conference Call</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conference call regarding this news release is scheduled for Thursday, April 23, 2026 at 9 a.m. ET. Investors and other interested parties may listen to the teleconference by accessing the online, real-time webcast and broadcast of the call at http://ir.churchilldownsincorporated.com/events.cfm, or by registering in advance via teleconference here. Once registration is completed, participants will be provided with a dial-in number containing a personalized conference code to access the call. All participants are encouraged to dial-in 15 minutes prior to the start time. An online replay will be available by noon ET on Thursday, April 23, 2026. A copy of the Company’s news release announcing quarterly results and relevant financial and statistical information about the period will be accessible at www.churchilldownsincorporated.com.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Use of Non-GAAP Measures</w:t>
      </w:r>
    </w:p>
    <w:p>
      <w:pPr>
        <w:spacing w:after="0" w:line="1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In addition to the results provided in accordance with GAAP, the Company also uses non-GAAP measures, including adjusted net income, adjusted diluted EPS, EBITDA (earnings before interest, taxes, depreciation and amortization), and Adjusted EBITDA.</w:t>
      </w:r>
    </w:p>
    <w:p>
      <w:pPr>
        <w:spacing w:after="0" w:line="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Company uses non-GAAP measures as a key performance measure of the results of operations for purposes of evaluating performance internally. These measures facilitate comparison of operating performance between periods and help investors to better understand the operating results of the Company by excluding certain items that may not be indicative of the Company's core business or operating results. The Company believes the use of these measures enables management and investors to evaluate and compare, from period to period, the Company’s operating performance in a meaningful and consistent manner. The non-GAAP measures are a supplemental measure of our performance that is not required by, or presented in accordance with, GAAP, and should not be considered as an alternative to, or more meaningful than, net income or diluted EPS (as determined in accordance with GAAP) as a measure of our operating results.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use Adjusted EBITDA to evaluate segment performance, develop strategy, and allocate resources. 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w:t>
      </w:r>
    </w:p>
    <w:p>
      <w:pPr>
        <w:spacing w:after="0" w:line="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Adjusted net income and adjusted diluted EPS exclude discontinued operations net income or loss; net income or loss attributable to noncontrolling interests; transaction expense, which includes acquisition and disposition related charges, as well as legal, accounting, and other deal-related expense; pre-opening expense; and certain other gains, charges, recoveries, and expenses.</w:t>
      </w:r>
    </w:p>
    <w:p>
      <w:pPr>
        <w:spacing w:after="0" w:line="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Adjusted EBITDA includes our portion of EBITDA from our equity investments and the portion of EBITDA attributable to noncontrolling interests.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EBITDA excludes:</w:t>
      </w:r>
    </w:p>
    <w:p>
      <w:pPr>
        <w:spacing w:after="0" w:line="1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expense, net which includes:</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disposition, and property sale related charges; and</w:t>
      </w:r>
    </w:p>
    <w:p>
      <w:pPr>
        <w:spacing w:after="0" w:line="11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transaction expense, including legal, accounting, and other deal-related expense;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Stock-based compensation expense;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Rivers Des Plaines' impact on our investments in unconsolidated affiliates from legal reserves and transaction costs;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impairments, net;</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on property sales;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reserves;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Pre-opening expense;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charges, recoveries, and expenses.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99"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22"/>
          <w:szCs w:val="22"/>
          <w:color w:val="auto"/>
        </w:rPr>
        <w:t>For segment reporting, Adjusted EBITDA includes intercompany revenue and expense totals that are eliminated in the Consolidated Statements of Comprehensive Income. See the Reconciliation of Comprehensive Income to Adjusted EBITDA included herewith for additional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Churchill Downs Incorporated</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Churchill Downs Incorporated ("CDI") (Nasdaq: CHDN) has created extraordinary entertainment experiences for over 150 years, beginning with the company’s most iconic and enduring asset, the Kentucky Derby. Headquartered in Louisville, Kentucky, CDI has expanded through the acquisition, development, and operation of live and historical racing entertainment venues, the growth of the online wagering businesses, and the acquisition, development, and operation of regional casino gaming properties. https://www.churchilldownsincorporated.com/</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This news release contains various "forward-looking statements" within the meaning of the "safe harbor" provisions of the Private Securities Litigation Reform Act of 1995.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i w:val="1"/>
          <w:iCs w:val="1"/>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 the occurrence of extraordinary events, such as</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i w:val="1"/>
          <w:iCs w:val="1"/>
          <w:color w:val="auto"/>
        </w:rPr>
        <w:t>terrorist attacks, public health threats, civil unrest, and inclement weather, including as a result of climate change; the effect of economic conditions on our consumers' confidence and discretionary spending or our access to credit, including the impact of inflation; changes in, or new interpretations of, applicable tax laws or rulings that</w:t>
      </w:r>
    </w:p>
    <w:p>
      <w:pPr>
        <w:jc w:val="both"/>
        <w:spacing w:after="0" w:line="228" w:lineRule="auto"/>
        <w:rPr>
          <w:sz w:val="20"/>
          <w:szCs w:val="20"/>
          <w:color w:val="auto"/>
        </w:rPr>
      </w:pPr>
      <w:r>
        <w:rPr>
          <w:rFonts w:ascii="Times New Roman" w:cs="Times New Roman" w:eastAsia="Times New Roman" w:hAnsi="Times New Roman"/>
          <w:sz w:val="16"/>
          <w:szCs w:val="16"/>
          <w:i w:val="1"/>
          <w:iCs w:val="1"/>
          <w:color w:val="auto"/>
        </w:rPr>
        <w:t>could result in additional tax liabilities; the impact of any pandemics, epidemics, or outbreaks of infectious diseases, and related economic matters on our results of operations, financial conditions, and prospects; lack of confidence in the integrity of our core businesses or any deterioration in our reputation; negative shifts in public opinion regarding gambling that could result in increased regulation of, or new restrictions on, the gaming industry; loss of key or highly skilled personnel, as well as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i w:val="1"/>
          <w:iCs w:val="1"/>
          <w:color w:val="auto"/>
        </w:rPr>
        <w:t>general disruptions in the general labor market; the impact of significant competition, and the expectation that competition levels will increase; changes in consumer preferences, attendance, wagering, and sponsorships; risks associated with equity investments, strategic alliances and other third-party agreements; inability to respond to</w:t>
      </w:r>
    </w:p>
    <w:p>
      <w:pPr>
        <w:jc w:val="both"/>
        <w:spacing w:after="0" w:line="228" w:lineRule="auto"/>
        <w:rPr>
          <w:sz w:val="20"/>
          <w:szCs w:val="20"/>
          <w:color w:val="auto"/>
        </w:rPr>
      </w:pPr>
      <w:r>
        <w:rPr>
          <w:rFonts w:ascii="Times New Roman" w:cs="Times New Roman" w:eastAsia="Times New Roman" w:hAnsi="Times New Roman"/>
          <w:sz w:val="16"/>
          <w:szCs w:val="16"/>
          <w:i w:val="1"/>
          <w:iCs w:val="1"/>
          <w:color w:val="auto"/>
        </w:rPr>
        <w:t>rapid technological changes in a timely manner; concentration and evolution of slot machine and historical racing machine ("HRM") manufacturing and other technology conditions that could impose additional costs; failure to enter into or maintain agreements with industry constituents, including horsemen and other racetracks; cybersecurity risk, including cyber-security breaches, or loss or misuse of our confidential information as a result of a breach including customers’ personal information, or IT system operational disruptions, could lead to government enforcement actions or other litigation; costs of compliance with increasingly complex laws and regulations</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i w:val="1"/>
          <w:iCs w:val="1"/>
          <w:color w:val="auto"/>
        </w:rPr>
        <w:t>regarding data privacy and protection of personal information; reliance on our technology services and catastrophic events, system failures, errors or defects disrupting our operations; inability to identify, complete, or fully realize the benefits of our proposed acquisitions, divestitures, development of new venues or the expansion of existing</w:t>
      </w:r>
    </w:p>
    <w:p>
      <w:pPr>
        <w:jc w:val="both"/>
        <w:spacing w:after="0" w:line="228" w:lineRule="auto"/>
        <w:rPr>
          <w:sz w:val="20"/>
          <w:szCs w:val="20"/>
          <w:color w:val="auto"/>
        </w:rPr>
      </w:pPr>
      <w:r>
        <w:rPr>
          <w:rFonts w:ascii="Times New Roman" w:cs="Times New Roman" w:eastAsia="Times New Roman" w:hAnsi="Times New Roman"/>
          <w:sz w:val="16"/>
          <w:szCs w:val="16"/>
          <w:i w:val="1"/>
          <w:iCs w:val="1"/>
          <w:color w:val="auto"/>
        </w:rPr>
        <w:t>facilities on time, on budget, or as planned; difficulty in integrating recent or future acquisitions into our operations; cost overruns and other uncertainties associated with the development of new venues and the expansion of existing facilities; general risks related to real estate ownership and significant expenditures, including risks related to environmental liabilities; personal injury litigation related to injuries occurring at our racetracks; compliance with the Foreign Corrupt Practices Act or other similar laws and regulations, or applicable anti-money laundering regulations; payment-related risks, such as risk associated with fraudulent credit card or debit card use; work</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i w:val="1"/>
          <w:iCs w:val="1"/>
          <w:color w:val="auto"/>
        </w:rPr>
        <w:t>stoppages and labor problems; risks related to pending or future legal proceedings and other actions; highly regulated operations and changes in the regulatory environment could adversely affect our business; restrictions in our debt facilities limiting our flexibility to operate our business; failure to comply with the financial ratios</w:t>
      </w:r>
    </w:p>
    <w:p>
      <w:pPr>
        <w:jc w:val="both"/>
        <w:spacing w:after="0" w:line="234" w:lineRule="auto"/>
        <w:rPr>
          <w:sz w:val="20"/>
          <w:szCs w:val="20"/>
          <w:color w:val="auto"/>
        </w:rPr>
      </w:pPr>
      <w:r>
        <w:rPr>
          <w:rFonts w:ascii="Times New Roman" w:cs="Times New Roman" w:eastAsia="Times New Roman" w:hAnsi="Times New Roman"/>
          <w:sz w:val="16"/>
          <w:szCs w:val="16"/>
          <w:i w:val="1"/>
          <w:iCs w:val="1"/>
          <w:color w:val="auto"/>
        </w:rPr>
        <w:t>and other covenants in our debt facilities and other indebtedness; increases to interest rates, disruption in the credit markets or changes to our credit ratings may adversely affect our business; increase in our insurance costs, or inability to obtain similar insurance coverage in the future, and any inability to recover under our insurance policies for damages sustained at our properties in the event of inclement weather and casualty events; and other factors described under the heading "Risk Factors" in our most recent Annual Report on Form 10-K and in other filings we make with the Securities and Exchange Commission.</w:t>
      </w:r>
    </w:p>
    <w:p>
      <w:pPr>
        <w:spacing w:after="0" w:line="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We do not undertake any obligation to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03"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01"/>
        </w:trPr>
        <w:tc>
          <w:tcPr>
            <w:tcW w:w="6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Live and Historical Racing</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Wagering Services and Solutions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Gaming</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8"/>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All Other</w:t>
            </w:r>
          </w:p>
        </w:tc>
        <w:tc>
          <w:tcPr>
            <w:tcW w:w="42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8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net revenue</w:t>
            </w: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26"/>
        </w:trPr>
        <w:tc>
          <w:tcPr>
            <w:tcW w:w="6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Live and Historical Racing</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Wagering Services and Solutions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Gaming</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All Other</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8"/>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expense, net</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operating expense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1"/>
        </w:trPr>
        <w:tc>
          <w:tcPr>
            <w:tcW w:w="6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6"/>
        </w:trPr>
        <w:tc>
          <w:tcPr>
            <w:tcW w:w="6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(expense) income:</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 in income of unconsolidated affiliates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8"/>
        </w:trPr>
        <w:tc>
          <w:tcPr>
            <w:tcW w:w="6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Miscellaneous, net</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 other (expense) income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5"/>
        </w:trPr>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 from operations before provision for income taxes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8"/>
        </w:trPr>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 tax provision</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5"/>
        </w:trPr>
        <w:tc>
          <w:tcPr>
            <w:tcW w:w="68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income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8"/>
        </w:trPr>
        <w:tc>
          <w:tcPr>
            <w:tcW w:w="68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42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3"/>
        </w:trPr>
        <w:tc>
          <w:tcPr>
            <w:tcW w:w="6880" w:type="dxa"/>
            <w:vAlign w:val="bottom"/>
          </w:tcPr>
          <w:p>
            <w:pPr>
              <w:ind w:left="320"/>
              <w:spacing w:after="0" w:line="143" w:lineRule="exact"/>
              <w:rPr>
                <w:sz w:val="20"/>
                <w:szCs w:val="20"/>
                <w:color w:val="auto"/>
              </w:rPr>
            </w:pPr>
            <w:r>
              <w:rPr>
                <w:rFonts w:ascii="Times New Roman" w:cs="Times New Roman" w:eastAsia="Times New Roman" w:hAnsi="Times New Roman"/>
                <w:sz w:val="16"/>
                <w:szCs w:val="16"/>
                <w:b w:val="1"/>
                <w:bCs w:val="1"/>
                <w:color w:val="auto"/>
              </w:rPr>
              <w:t>Net income and comprehensive income attributable to</w:t>
            </w: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2"/>
                <w:szCs w:val="12"/>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6"/>
        </w:trPr>
        <w:tc>
          <w:tcPr>
            <w:tcW w:w="68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Churchill Downs Incorporated</w:t>
            </w:r>
          </w:p>
        </w:tc>
        <w:tc>
          <w:tcPr>
            <w:tcW w:w="4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attributable to Churchill Downs Incorporated per common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Basic net income</w:t>
            </w:r>
          </w:p>
        </w:tc>
        <w:tc>
          <w:tcPr>
            <w:tcW w:w="2960" w:type="dxa"/>
            <w:vAlign w:val="bottom"/>
          </w:tcPr>
          <w:p>
            <w:pPr>
              <w:spacing w:after="0"/>
              <w:rPr>
                <w:sz w:val="20"/>
                <w:szCs w:val="20"/>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20"/>
                <w:szCs w:val="20"/>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
        </w:trPr>
        <w:tc>
          <w:tcPr>
            <w:tcW w:w="3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Diluted net income</w:t>
            </w:r>
          </w:p>
        </w:tc>
        <w:tc>
          <w:tcPr>
            <w:tcW w:w="3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2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92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8"/>
        </w:trPr>
        <w:tc>
          <w:tcPr>
            <w:tcW w:w="39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743"/>
        </w:trPr>
        <w:tc>
          <w:tcPr>
            <w:tcW w:w="3920" w:type="dxa"/>
            <w:vAlign w:val="bottom"/>
          </w:tcPr>
          <w:p>
            <w:pPr>
              <w:spacing w:after="0"/>
              <w:rPr>
                <w:sz w:val="24"/>
                <w:szCs w:val="24"/>
                <w:color w:val="auto"/>
              </w:rPr>
            </w:pPr>
          </w:p>
        </w:tc>
        <w:tc>
          <w:tcPr>
            <w:tcW w:w="29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40" w:top="934" w:right="6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CHURCHILL DOWNS INCORPORATED</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5"/>
        </w:trPr>
        <w:tc>
          <w:tcPr>
            <w:tcW w:w="7180" w:type="dxa"/>
            <w:vAlign w:val="bottom"/>
          </w:tcPr>
          <w:p>
            <w:pPr>
              <w:ind w:left="324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and advances to unconsolidated affiliates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8"/>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maturities and loan origination fees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debt issuance costs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Churchill Downs Incorporated shareholders' equity</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3"/>
        </w:trPr>
        <w:tc>
          <w:tcPr>
            <w:tcW w:w="7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60" w:top="934" w:right="35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CHURCHILL DOWNS INCORPORATED</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71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7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5"/>
        </w:trPr>
        <w:tc>
          <w:tcPr>
            <w:tcW w:w="71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maintenance expenditures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project expenditures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5"/>
        </w:trPr>
        <w:tc>
          <w:tcPr>
            <w:tcW w:w="71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borrowings under long-term debt obligations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borrowings under long-term debt obligations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dividends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 related to net share settlement of stock awards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bank overdraft</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7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80" w:top="934" w:right="35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 attributable to CDI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continuing operations: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pre-opening, and other expense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recoveries, net</w:t>
      </w:r>
    </w:p>
    <w:p>
      <w:pPr>
        <w:spacing w:after="0" w:line="23" w:lineRule="exact"/>
        <w:rPr>
          <w:sz w:val="20"/>
          <w:szCs w:val="20"/>
          <w:color w:val="auto"/>
        </w:rPr>
      </w:pPr>
    </w:p>
    <w:p>
      <w:pPr>
        <w:ind w:firstLine="122"/>
        <w:spacing w:after="0"/>
        <w:rPr>
          <w:sz w:val="20"/>
          <w:szCs w:val="20"/>
          <w:color w:val="auto"/>
        </w:rPr>
      </w:pPr>
      <w:r>
        <w:rPr>
          <w:rFonts w:ascii="Times New Roman" w:cs="Times New Roman" w:eastAsia="Times New Roman" w:hAnsi="Times New Roman"/>
          <w:sz w:val="18"/>
          <w:szCs w:val="18"/>
          <w:color w:val="auto"/>
        </w:rPr>
        <w:t xml:space="preserve">Income tax impact on net income adjustments </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Total adjustments</w:t>
      </w:r>
    </w:p>
    <w:p>
      <w:pPr>
        <w:spacing w:after="0" w:line="37" w:lineRule="exact"/>
        <w:rPr>
          <w:sz w:val="20"/>
          <w:szCs w:val="20"/>
          <w:color w:val="auto"/>
        </w:rPr>
      </w:pPr>
    </w:p>
    <w:p>
      <w:pPr>
        <w:ind w:right="720"/>
        <w:spacing w:after="0" w:line="344" w:lineRule="auto"/>
        <w:rPr>
          <w:sz w:val="20"/>
          <w:szCs w:val="20"/>
          <w:color w:val="auto"/>
        </w:rPr>
      </w:pPr>
      <w:r>
        <w:rPr>
          <w:rFonts w:ascii="Times New Roman" w:cs="Times New Roman" w:eastAsia="Times New Roman" w:hAnsi="Times New Roman"/>
          <w:sz w:val="18"/>
          <w:szCs w:val="18"/>
          <w:color w:val="auto"/>
        </w:rPr>
        <w:t>Adjusted net income attributable to CDI Adjusted diluted EPS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Times New Roman" w:cs="Times New Roman" w:eastAsia="Times New Roman" w:hAnsi="Times New Roman"/>
          <w:sz w:val="17"/>
          <w:szCs w:val="17"/>
          <w:b w:val="1"/>
          <w:bCs w:val="1"/>
          <w:color w:val="auto"/>
        </w:rPr>
        <w:t>CHURCHILL DOWNS INCORPORATED</w:t>
      </w:r>
    </w:p>
    <w:p>
      <w:pPr>
        <w:spacing w:after="0" w:line="43"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3240" w:type="dxa"/>
        <w:tblCellMar>
          <w:top w:w="0" w:type="dxa"/>
          <w:left w:w="0" w:type="dxa"/>
          <w:bottom w:w="0" w:type="dxa"/>
          <w:right w:w="0" w:type="dxa"/>
        </w:tblCellMar>
      </w:tblPr>
      <w:tr>
        <w:trPr>
          <w:trHeight w:val="223"/>
        </w:trPr>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1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8"/>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503"/>
        </w:trPr>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ectPr>
          <w:pgSz w:w="11900" w:h="16838" w:orient="portrait"/>
          <w:cols w:equalWidth="0" w:num="2">
            <w:col w:w="3600" w:space="260"/>
            <w:col w:w="7220"/>
          </w:cols>
          <w:pgMar w:left="420" w:top="887" w:right="399" w:bottom="1440" w:gutter="0" w:footer="0" w:header="0"/>
        </w:sectPr>
      </w:pPr>
    </w:p>
    <w:p>
      <w:pPr>
        <w:spacing w:after="0" w:line="119" w:lineRule="exact"/>
        <w:rPr>
          <w:sz w:val="20"/>
          <w:szCs w:val="20"/>
          <w:color w:val="auto"/>
        </w:rPr>
      </w:pPr>
    </w:p>
    <w:p>
      <w:pPr>
        <w:ind w:left="560" w:hanging="328"/>
        <w:spacing w:after="0" w:line="282" w:lineRule="auto"/>
        <w:tabs>
          <w:tab w:leader="none" w:pos="5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impact for each adjustment is derived by applying the effective tax rate, including current and deferred income tax expense, based upon the jurisdiction and the nature of the adjustment.</w:t>
      </w:r>
    </w:p>
    <w:p>
      <w:pPr>
        <w:spacing w:after="0" w:line="200" w:lineRule="exact"/>
        <w:rPr>
          <w:sz w:val="20"/>
          <w:szCs w:val="20"/>
          <w:color w:val="auto"/>
        </w:rPr>
      </w:pPr>
    </w:p>
    <w:p>
      <w:pPr>
        <w:spacing w:after="0" w:line="24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1"/>
        </w:trPr>
        <w:tc>
          <w:tcPr>
            <w:tcW w:w="64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Handle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06"/>
        </w:trPr>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TwinSpires Horse Racing</w:t>
            </w:r>
            <w:r>
              <w:rPr>
                <w:rFonts w:ascii="Times New Roman" w:cs="Times New Roman" w:eastAsia="Times New Roman" w:hAnsi="Times New Roman"/>
                <w:sz w:val="23"/>
                <w:szCs w:val="23"/>
                <w:color w:val="auto"/>
                <w:vertAlign w:val="superscript"/>
              </w:rPr>
              <w:t>(a)</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bl>
    <w:p>
      <w:pPr>
        <w:spacing w:after="0" w:line="223" w:lineRule="exact"/>
        <w:rPr>
          <w:sz w:val="20"/>
          <w:szCs w:val="20"/>
          <w:color w:val="auto"/>
        </w:rPr>
      </w:pPr>
    </w:p>
    <w:p>
      <w:pPr>
        <w:ind w:left="5480" w:right="3220" w:hanging="5248"/>
        <w:spacing w:after="0" w:line="923" w:lineRule="auto"/>
        <w:tabs>
          <w:tab w:leader="none" w:pos="47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TwinSpires Horse Racing handle does not include handle generated by Velocity and national affiliates. 9</w:t>
      </w:r>
    </w:p>
    <w:p>
      <w:pPr>
        <w:sectPr>
          <w:pgSz w:w="11900" w:h="16838" w:orient="portrait"/>
          <w:cols w:equalWidth="0" w:num="1">
            <w:col w:w="11080"/>
          </w:cols>
          <w:pgMar w:left="420" w:top="887" w:right="39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04"/>
        </w:trPr>
        <w:tc>
          <w:tcPr>
            <w:tcW w:w="654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Live and Historical Racing:</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Louisville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Northern Kentucky</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Southwestern Kentucky</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Western Kentucky</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Virginia</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Hampshire</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Live and Historical Racing</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481"/>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Wagering Services and Solutions: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495"/>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Florida</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Iowa</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Indiana</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Louisiana</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Maine</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Maryland</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Mississippi</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York</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Pennsylvania</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8"/>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Gaming</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4"/>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revenue from external customers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Intercompany net revenues:</w:t>
            </w: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65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Gaming</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Other</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Eliminations</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net revenue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340"/>
          </w:cols>
          <w:pgMar w:left="780" w:top="887" w:right="7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20" w:type="dxa"/>
            <w:vAlign w:val="bottom"/>
          </w:tcPr>
          <w:p>
            <w:pPr>
              <w:spacing w:after="0"/>
              <w:rPr>
                <w:sz w:val="15"/>
                <w:szCs w:val="15"/>
                <w:color w:val="auto"/>
              </w:rPr>
            </w:pPr>
          </w:p>
        </w:tc>
        <w:tc>
          <w:tcPr>
            <w:tcW w:w="1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5"/>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9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Pari-mutuel: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6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4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2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Live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Wagering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Services and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20" w:type="dxa"/>
            <w:vAlign w:val="bottom"/>
          </w:tcPr>
          <w:p>
            <w:pPr>
              <w:spacing w:after="0"/>
              <w:rPr>
                <w:sz w:val="15"/>
                <w:szCs w:val="15"/>
                <w:color w:val="auto"/>
              </w:rPr>
            </w:pPr>
          </w:p>
        </w:tc>
        <w:tc>
          <w:tcPr>
            <w:tcW w:w="13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5"/>
            <w:vMerge w:val="continue"/>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94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60" w:hanging="652"/>
        <w:spacing w:after="0" w:line="261"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$16 million for the three months ended March 31, 2026 and $14 million for the three months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color w:val="auto"/>
        </w:rPr>
        <w:t>Three Months Ended March 31, 2026</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2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260"/>
              <w:spacing w:after="0" w:line="163" w:lineRule="exact"/>
              <w:rPr>
                <w:sz w:val="20"/>
                <w:szCs w:val="20"/>
                <w:color w:val="auto"/>
              </w:rPr>
            </w:pPr>
            <w:r>
              <w:rPr>
                <w:rFonts w:ascii="Times New Roman" w:cs="Times New Roman" w:eastAsia="Times New Roman" w:hAnsi="Times New Roman"/>
                <w:sz w:val="16"/>
                <w:szCs w:val="16"/>
                <w:b w:val="1"/>
                <w:bCs w:val="1"/>
                <w:color w:val="auto"/>
              </w:rPr>
              <w:t>Live &amp;</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240"/>
              <w:spacing w:after="0" w:line="163" w:lineRule="exact"/>
              <w:rPr>
                <w:sz w:val="20"/>
                <w:szCs w:val="20"/>
                <w:color w:val="auto"/>
              </w:rPr>
            </w:pPr>
            <w:r>
              <w:rPr>
                <w:rFonts w:ascii="Times New Roman" w:cs="Times New Roman" w:eastAsia="Times New Roman" w:hAnsi="Times New Roman"/>
                <w:sz w:val="16"/>
                <w:szCs w:val="16"/>
                <w:b w:val="1"/>
                <w:bCs w:val="1"/>
                <w:color w:val="auto"/>
                <w:w w:val="97"/>
              </w:rPr>
              <w:t>Wagering</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40" w:type="dxa"/>
            <w:vAlign w:val="bottom"/>
          </w:tcPr>
          <w:p>
            <w:pPr>
              <w:spacing w:after="0"/>
              <w:rPr>
                <w:sz w:val="14"/>
                <w:szCs w:val="14"/>
                <w:color w:val="auto"/>
              </w:rPr>
            </w:pPr>
          </w:p>
        </w:tc>
        <w:tc>
          <w:tcPr>
            <w:tcW w:w="110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Services &amp;</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20" w:type="dxa"/>
            <w:vAlign w:val="bottom"/>
          </w:tcPr>
          <w:p>
            <w:pPr>
              <w:spacing w:after="0"/>
              <w:rPr>
                <w:sz w:val="14"/>
                <w:szCs w:val="14"/>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Racing</w:t>
            </w:r>
          </w:p>
        </w:tc>
        <w:tc>
          <w:tcPr>
            <w:tcW w:w="14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&amp; purses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Marketing &amp; advertising</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Salaries &amp; benefits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Maintenance, insurance &amp;</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Gaming equipment rental &amp;</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Food &amp; beverage costs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5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Other operating expense</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Equity in income of</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8"/>
        </w:trPr>
        <w:tc>
          <w:tcPr>
            <w:tcW w:w="2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3"/>
          </w:tcPr>
          <w:p>
            <w:pPr>
              <w:ind w:left="80"/>
              <w:spacing w:after="0"/>
              <w:rPr>
                <w:sz w:val="20"/>
                <w:szCs w:val="20"/>
                <w:color w:val="auto"/>
              </w:rPr>
            </w:pPr>
            <w:r>
              <w:rPr>
                <w:rFonts w:ascii="Times New Roman" w:cs="Times New Roman" w:eastAsia="Times New Roman" w:hAnsi="Times New Roman"/>
                <w:sz w:val="20"/>
                <w:szCs w:val="20"/>
                <w:b w:val="1"/>
                <w:bCs w:val="1"/>
                <w:color w:val="auto"/>
              </w:rPr>
              <w:t>Three Months Ended March 31, 2025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Live &amp;</w:t>
            </w:r>
          </w:p>
        </w:tc>
        <w:tc>
          <w:tcPr>
            <w:tcW w:w="14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Times New Roman" w:cs="Times New Roman" w:eastAsia="Times New Roman" w:hAnsi="Times New Roman"/>
                <w:sz w:val="16"/>
                <w:szCs w:val="16"/>
                <w:b w:val="1"/>
                <w:bCs w:val="1"/>
                <w:color w:val="auto"/>
              </w:rPr>
              <w:t>Wagering</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40" w:type="dxa"/>
            <w:vAlign w:val="bottom"/>
          </w:tcPr>
          <w:p>
            <w:pPr>
              <w:spacing w:after="0"/>
              <w:rPr>
                <w:sz w:val="14"/>
                <w:szCs w:val="14"/>
                <w:color w:val="auto"/>
              </w:rPr>
            </w:pPr>
          </w:p>
        </w:tc>
        <w:tc>
          <w:tcPr>
            <w:tcW w:w="110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Services &amp;</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20" w:type="dxa"/>
            <w:vAlign w:val="bottom"/>
          </w:tcPr>
          <w:p>
            <w:pPr>
              <w:spacing w:after="0"/>
              <w:rPr>
                <w:sz w:val="14"/>
                <w:szCs w:val="14"/>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Segments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8"/>
                <w:szCs w:val="18"/>
                <w:color w:val="auto"/>
              </w:rPr>
            </w:pPr>
          </w:p>
        </w:tc>
        <w:tc>
          <w:tcPr>
            <w:tcW w:w="11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Racing</w:t>
            </w:r>
          </w:p>
        </w:tc>
        <w:tc>
          <w:tcPr>
            <w:tcW w:w="14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Pari-mutuel taxes &amp; purses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Gaming taxes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Marketing &amp; advertising</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Salaries &amp; benefits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Content expense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Maintenance, insurance &amp;</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Gaming equipment rental &amp;</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costs</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Food &amp; beverage costs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3"/>
        </w:trPr>
        <w:tc>
          <w:tcPr>
            <w:tcW w:w="25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Other operating expense</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80"/>
        </w:trPr>
        <w:tc>
          <w:tcPr>
            <w:tcW w:w="2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Equity in income of</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0"/>
                <w:szCs w:val="20"/>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 primarily includes supplies, regulatory licenses and fees, property taxes, and third-party service fees and costs.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7" w:right="339" w:bottom="1440" w:gutter="0" w:footer="0" w:header="0"/>
        </w:sectPr>
      </w:pPr>
    </w:p>
    <w:bookmarkStart w:id="15" w:name="page16"/>
    <w:bookmarkEnd w:id="15"/>
    <w:p>
      <w:pPr>
        <w:ind w:left="354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05"/>
        </w:trPr>
        <w:tc>
          <w:tcPr>
            <w:tcW w:w="66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Reconciliation of Comprehensive Income to Adjusted EBITDA:</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and comprehensive income attributable to Churchill Downs Incorporated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4"/>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4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expense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expense, net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depreciation and amortization expense related to equity investments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6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charges and recoveries, net</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adjustments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66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Wagering Services and Solutions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8"/>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20"/>
          </w:cols>
          <w:pgMar w:left="740" w:top="1346" w:right="7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JOINT VENTURE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for our equity investments is comprised of the following:</w:t>
      </w:r>
    </w:p>
    <w:p>
      <w:pPr>
        <w:spacing w:after="0" w:line="4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Summarized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19685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7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SG&amp;A expense</w:t>
            </w: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Summarized Balance Sheet</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5"/>
        </w:trPr>
        <w:tc>
          <w:tcPr>
            <w:tcW w:w="71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6"/>
              </w:rPr>
              <w:t>108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7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6"/>
              </w:rPr>
              <w:t>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6"/>
              </w:rPr>
              <w:t>266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6"/>
              </w:rPr>
              <w:t>686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6"/>
              </w:rPr>
              <w:t>112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72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6"/>
              </w:rPr>
              <w:t>777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6"/>
              </w:rPr>
              <w:t>686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8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capital projects for the Company are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Completion</w:t>
            </w:r>
          </w:p>
        </w:tc>
        <w:tc>
          <w:tcPr>
            <w:tcW w:w="2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149"/>
        </w:trPr>
        <w:tc>
          <w:tcPr>
            <w:tcW w:w="2540" w:type="dxa"/>
            <w:vAlign w:val="bottom"/>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Planned Spend</w:t>
            </w:r>
          </w:p>
        </w:tc>
        <w:tc>
          <w:tcPr>
            <w:tcW w:w="0" w:type="dxa"/>
            <w:vAlign w:val="bottom"/>
          </w:tcPr>
          <w:p>
            <w:pPr>
              <w:spacing w:after="0"/>
              <w:rPr>
                <w:sz w:val="1"/>
                <w:szCs w:val="1"/>
                <w:color w:val="auto"/>
              </w:rPr>
            </w:pPr>
          </w:p>
        </w:tc>
      </w:tr>
      <w:tr>
        <w:trPr>
          <w:trHeight w:val="92"/>
        </w:trPr>
        <w:tc>
          <w:tcPr>
            <w:tcW w:w="254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6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Live and Historical Racing Segment</w:t>
            </w:r>
          </w:p>
        </w:tc>
        <w:tc>
          <w:tcPr>
            <w:tcW w:w="23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5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 Line Suites / The Mansion</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April 2026</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2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4160" w:type="dxa"/>
            <w:vAlign w:val="bottom"/>
            <w:tcBorders>
              <w:bottom w:val="single" w:sz="8" w:color="DBDBDB"/>
            </w:tcBorders>
          </w:tcPr>
          <w:p>
            <w:pPr>
              <w:spacing w:after="0"/>
              <w:rPr>
                <w:sz w:val="19"/>
                <w:szCs w:val="19"/>
                <w:color w:val="auto"/>
              </w:rPr>
            </w:pPr>
          </w:p>
        </w:tc>
        <w:tc>
          <w:tcPr>
            <w:tcW w:w="2320" w:type="dxa"/>
            <w:vAlign w:val="bottom"/>
            <w:tcBorders>
              <w:bottom w:val="single" w:sz="8" w:color="DBDBDB"/>
            </w:tcBorders>
          </w:tcPr>
          <w:p>
            <w:pPr>
              <w:spacing w:after="0"/>
              <w:rPr>
                <w:sz w:val="19"/>
                <w:szCs w:val="19"/>
                <w:color w:val="auto"/>
              </w:rPr>
            </w:pPr>
          </w:p>
        </w:tc>
        <w:tc>
          <w:tcPr>
            <w:tcW w:w="22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540" w:type="dxa"/>
            <w:vAlign w:val="bottom"/>
            <w:vMerge w:val="continue"/>
          </w:tcPr>
          <w:p>
            <w:pPr>
              <w:spacing w:after="0"/>
              <w:rPr>
                <w:sz w:val="6"/>
                <w:szCs w:val="6"/>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Victory Run</w:t>
            </w:r>
          </w:p>
        </w:tc>
        <w:tc>
          <w:tcPr>
            <w:tcW w:w="23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April 2028</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338"/>
        </w:trPr>
        <w:tc>
          <w:tcPr>
            <w:tcW w:w="25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4160" w:type="dxa"/>
            <w:vAlign w:val="bottom"/>
            <w:tcBorders>
              <w:bottom w:val="single" w:sz="8" w:color="DBDBDB"/>
            </w:tcBorders>
          </w:tcPr>
          <w:p>
            <w:pPr>
              <w:spacing w:after="0"/>
              <w:rPr>
                <w:sz w:val="17"/>
                <w:szCs w:val="17"/>
                <w:color w:val="auto"/>
              </w:rPr>
            </w:pPr>
          </w:p>
        </w:tc>
        <w:tc>
          <w:tcPr>
            <w:tcW w:w="2320" w:type="dxa"/>
            <w:vAlign w:val="bottom"/>
            <w:tcBorders>
              <w:bottom w:val="single" w:sz="8" w:color="DBDBDB"/>
            </w:tcBorders>
          </w:tcPr>
          <w:p>
            <w:pPr>
              <w:spacing w:after="0"/>
              <w:rPr>
                <w:sz w:val="17"/>
                <w:szCs w:val="17"/>
                <w:color w:val="auto"/>
              </w:rPr>
            </w:pPr>
          </w:p>
        </w:tc>
        <w:tc>
          <w:tcPr>
            <w:tcW w:w="220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5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Richmond (HRM Expansion)</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$0-5</w:t>
            </w:r>
          </w:p>
        </w:tc>
        <w:tc>
          <w:tcPr>
            <w:tcW w:w="0" w:type="dxa"/>
            <w:vAlign w:val="bottom"/>
          </w:tcPr>
          <w:p>
            <w:pPr>
              <w:spacing w:after="0"/>
              <w:rPr>
                <w:sz w:val="1"/>
                <w:szCs w:val="1"/>
                <w:color w:val="auto"/>
              </w:rPr>
            </w:pPr>
          </w:p>
        </w:tc>
      </w:tr>
      <w:tr>
        <w:trPr>
          <w:trHeight w:val="148"/>
        </w:trPr>
        <w:tc>
          <w:tcPr>
            <w:tcW w:w="2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Virginia</w:t>
            </w:r>
          </w:p>
        </w:tc>
        <w:tc>
          <w:tcPr>
            <w:tcW w:w="4160" w:type="dxa"/>
            <w:vAlign w:val="bottom"/>
            <w:tcBorders>
              <w:bottom w:val="single" w:sz="8" w:color="DBDBDB"/>
            </w:tcBorders>
          </w:tcPr>
          <w:p>
            <w:pPr>
              <w:spacing w:after="0"/>
              <w:rPr>
                <w:sz w:val="12"/>
                <w:szCs w:val="12"/>
                <w:color w:val="auto"/>
              </w:rPr>
            </w:pPr>
          </w:p>
        </w:tc>
        <w:tc>
          <w:tcPr>
            <w:tcW w:w="2320" w:type="dxa"/>
            <w:vAlign w:val="bottom"/>
            <w:tcBorders>
              <w:bottom w:val="single" w:sz="8" w:color="DBDBDB"/>
            </w:tcBorders>
          </w:tcPr>
          <w:p>
            <w:pPr>
              <w:spacing w:after="0"/>
              <w:rPr>
                <w:sz w:val="12"/>
                <w:szCs w:val="12"/>
                <w:color w:val="auto"/>
              </w:rPr>
            </w:pPr>
          </w:p>
        </w:tc>
        <w:tc>
          <w:tcPr>
            <w:tcW w:w="22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540" w:type="dxa"/>
            <w:vAlign w:val="bottom"/>
            <w:vMerge w:val="continue"/>
          </w:tcPr>
          <w:p>
            <w:pPr>
              <w:spacing w:after="0"/>
              <w:rPr>
                <w:sz w:val="7"/>
                <w:szCs w:val="7"/>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Roseshire (HRM Venue)</w:t>
            </w:r>
          </w:p>
        </w:tc>
        <w:tc>
          <w:tcPr>
            <w:tcW w:w="23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$0-5</w:t>
            </w:r>
          </w:p>
        </w:tc>
        <w:tc>
          <w:tcPr>
            <w:tcW w:w="0" w:type="dxa"/>
            <w:vAlign w:val="bottom"/>
          </w:tcPr>
          <w:p>
            <w:pPr>
              <w:spacing w:after="0"/>
              <w:rPr>
                <w:sz w:val="1"/>
                <w:szCs w:val="1"/>
                <w:color w:val="auto"/>
              </w:rPr>
            </w:pPr>
          </w:p>
        </w:tc>
      </w:tr>
      <w:tr>
        <w:trPr>
          <w:trHeight w:val="283"/>
        </w:trPr>
        <w:tc>
          <w:tcPr>
            <w:tcW w:w="25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40" w:type="dxa"/>
            <w:vAlign w:val="bottom"/>
            <w:tcBorders>
              <w:bottom w:val="single" w:sz="8" w:color="DBDBDB"/>
            </w:tcBorders>
          </w:tcPr>
          <w:p>
            <w:pPr>
              <w:spacing w:after="0"/>
              <w:rPr>
                <w:sz w:val="12"/>
                <w:szCs w:val="12"/>
                <w:color w:val="auto"/>
              </w:rPr>
            </w:pPr>
          </w:p>
        </w:tc>
        <w:tc>
          <w:tcPr>
            <w:tcW w:w="4160" w:type="dxa"/>
            <w:vAlign w:val="bottom"/>
            <w:tcBorders>
              <w:bottom w:val="single" w:sz="8" w:color="DBDBDB"/>
            </w:tcBorders>
          </w:tcPr>
          <w:p>
            <w:pPr>
              <w:spacing w:after="0"/>
              <w:rPr>
                <w:sz w:val="12"/>
                <w:szCs w:val="12"/>
                <w:color w:val="auto"/>
              </w:rPr>
            </w:pPr>
          </w:p>
        </w:tc>
        <w:tc>
          <w:tcPr>
            <w:tcW w:w="2320" w:type="dxa"/>
            <w:vAlign w:val="bottom"/>
            <w:tcBorders>
              <w:bottom w:val="single" w:sz="8" w:color="DBDBDB"/>
            </w:tcBorders>
          </w:tcPr>
          <w:p>
            <w:pPr>
              <w:spacing w:after="0"/>
              <w:rPr>
                <w:sz w:val="12"/>
                <w:szCs w:val="12"/>
                <w:color w:val="auto"/>
              </w:rPr>
            </w:pPr>
          </w:p>
        </w:tc>
        <w:tc>
          <w:tcPr>
            <w:tcW w:w="22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DBDBDB"/>
            </w:tcBorders>
          </w:tcPr>
          <w:p>
            <w:pPr>
              <w:ind w:left="240"/>
              <w:spacing w:after="0"/>
              <w:rPr>
                <w:sz w:val="20"/>
                <w:szCs w:val="20"/>
                <w:color w:val="auto"/>
              </w:rPr>
            </w:pPr>
            <w:r>
              <w:rPr>
                <w:rFonts w:ascii="Times New Roman" w:cs="Times New Roman" w:eastAsia="Times New Roman" w:hAnsi="Times New Roman"/>
                <w:sz w:val="18"/>
                <w:szCs w:val="18"/>
                <w:color w:val="auto"/>
              </w:rPr>
              <w:t>Southwestern Kentucky</w:t>
            </w:r>
          </w:p>
        </w:tc>
        <w:tc>
          <w:tcPr>
            <w:tcW w:w="416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Marshall Yards Racing and Gaming (HRM Venue)</w:t>
            </w:r>
          </w:p>
        </w:tc>
        <w:tc>
          <w:tcPr>
            <w:tcW w:w="2320" w:type="dxa"/>
            <w:vAlign w:val="bottom"/>
            <w:tcBorders>
              <w:bottom w:val="single" w:sz="8" w:color="DBDBDB"/>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Completed</w:t>
            </w:r>
          </w:p>
        </w:tc>
        <w:tc>
          <w:tcPr>
            <w:tcW w:w="2200" w:type="dxa"/>
            <w:vAlign w:val="bottom"/>
            <w:tcBorders>
              <w:bottom w:val="single" w:sz="8" w:color="DBDBDB"/>
            </w:tcBorders>
          </w:tcPr>
          <w:p>
            <w:pPr>
              <w:jc w:val="center"/>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4"/>
        </w:trPr>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New Hampshire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Rockingham Grand Casino (HRM Venue)</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Mid-2027</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$70-80</w:t>
            </w:r>
          </w:p>
        </w:tc>
        <w:tc>
          <w:tcPr>
            <w:tcW w:w="0" w:type="dxa"/>
            <w:vAlign w:val="bottom"/>
          </w:tcPr>
          <w:p>
            <w:pPr>
              <w:spacing w:after="0"/>
              <w:rPr>
                <w:sz w:val="1"/>
                <w:szCs w:val="1"/>
                <w:color w:val="auto"/>
              </w:rPr>
            </w:pPr>
          </w:p>
        </w:tc>
      </w:tr>
      <w:tr>
        <w:trPr>
          <w:trHeight w:val="238"/>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 Projects</w:t>
            </w:r>
          </w:p>
        </w:tc>
        <w:tc>
          <w:tcPr>
            <w:tcW w:w="4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32"/>
        </w:trPr>
        <w:tc>
          <w:tcPr>
            <w:tcW w:w="25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32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$180-220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502"/>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2026-04-22T15:30:29Z</dcterms:created>
  <dcterms:modified xsi:type="dcterms:W3CDTF">2026-04-22T15:30:29Z</dcterms:modified>
</cp:coreProperties>
</file>