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GRISSOM DOUGLAS C</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Churchill Downs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220" w:type="dxa"/>
            <w:vAlign w:val="bottom"/>
            <w:tcBorders>
              <w:bottom w:val="single" w:sz="8" w:color="0000EE"/>
            </w:tcBorders>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60" w:type="dxa"/>
            <w:vAlign w:val="bottom"/>
            <w:tcBorders>
              <w:bottom w:val="single" w:sz="8" w:color="2C2C2C"/>
            </w:tcBorders>
          </w:tcPr>
          <w:p>
            <w:pPr>
              <w:spacing w:after="0"/>
              <w:rPr>
                <w:sz w:val="16"/>
                <w:szCs w:val="16"/>
                <w:color w:val="auto"/>
              </w:rPr>
            </w:pPr>
          </w:p>
        </w:tc>
        <w:tc>
          <w:tcPr>
            <w:tcW w:w="1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04/21/2026</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600 N. HURSTBOURNE PARKWAY,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42,622.29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in connection with 2026 director service which will vest one year from the anniversary of the grant date. Each restricted stock unit is the economic equivalent of one share of common stock. The closing price of CHDN common stock on April 21, 2026, was used to determine the number of restricted stock units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do not have a conversion price or expiration date.</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units granted for service as a director and dividends awarded for such units. The equivalent shares of common stock related to the vested units will be transferred upon the reporting person's completion of service as a director.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Paula Chumbley, Attorney-in- </w:t>
      </w:r>
      <w:r>
        <w:rPr>
          <w:rFonts w:ascii="Times New Roman" w:cs="Times New Roman" w:eastAsia="Times New Roman" w:hAnsi="Times New Roman"/>
          <w:sz w:val="34"/>
          <w:szCs w:val="34"/>
          <w:color w:val="0000FF"/>
          <w:vertAlign w:val="subscript"/>
        </w:rPr>
        <w:t>04/23/2026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Douglas C. Grissom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8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80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6240"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2026-04-23T15:49:28Z</dcterms:created>
  <dcterms:modified xsi:type="dcterms:W3CDTF">2026-04-23T15:49:28Z</dcterms:modified>
</cp:coreProperties>
</file>