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1511.xml.htm"/>
      <w:bookmarkStart w:id="1" w:name="kswkform4_17909715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GRISSOM DOUGLAS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N. HURSTBOURNE PARKWAY, SUITE 400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LOUISVILLE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Churchill Downs Inc</w:t>
              </w:r>
            </w:hyperlink>
            <w:r>
              <w:rPr/>
              <w:t xml:space="preserve"> [ </w:t>
            </w:r>
            <w:r>
              <w:rPr>
                <w:rFonts w:ascii="Times;serif" w:hAnsi="Times;serif"/>
                <w:color w:val="0000FF"/>
                <w:sz w:val="24"/>
                <w:shd w:fill="FFFFFF" w:val="clear"/>
              </w:rPr>
              <w:t>CHDN</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969"/>
        <w:gridCol w:w="449"/>
        <w:gridCol w:w="612"/>
        <w:gridCol w:w="131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454.22</w:t>
            </w:r>
            <w:r>
              <w:rPr>
                <w:rFonts w:ascii="Times;serif" w:hAnsi="Times;serif"/>
                <w:color w:val="008000"/>
                <w:position w:val="7"/>
                <w:sz w:val="16"/>
                <w:sz w:val="20"/>
                <w:shd w:fill="FFFFFF" w:val="clear"/>
              </w:rPr>
              <w:t>(2)</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43,459.99</w:t>
            </w:r>
            <w:r>
              <w:rPr>
                <w:rFonts w:ascii="Times;serif" w:hAnsi="Times;serif"/>
                <w:color w:val="008000"/>
                <w:position w:val="7"/>
                <w:sz w:val="16"/>
                <w:sz w:val="20"/>
                <w:shd w:fill="FFFFFF" w:val="clear"/>
              </w:rPr>
              <w:t>(3)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share units awarded in connection with the election to defer compensation. Each phantom share unit is the economic equivalent of one share of common stock. The shares of common stock are transferred upon the reporting person's completion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closing price of CHDN common stock on September 30, 2026, was used to determine the number of phantom shares awarded.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holding is comprised of restricted stock units granted for service as a director, phantom share units granted in connection with deferred compensation elections and dividends awarded for each unit.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Paula Chumbley, Attorney-in-Fact for Douglas C. Grissom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6240" TargetMode="External"/><Relationship Id="rId5" Type="http://schemas.openxmlformats.org/officeDocument/2006/relationships/hyperlink" Target="http://www.sec.gov/cgi-bin/browse-edgar?action=getcompany&amp;CIK=00000202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3607</Characters>
  <CharactersWithSpaces>4201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