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w:t>
      </w:r>
    </w:p>
    <w:p>
      <w:pPr>
        <w:pStyle w:val="TextBody"/>
        <w:bidi w:val="0"/>
        <w:spacing w:lineRule="auto" w:line="288" w:before="0" w:after="0"/>
        <w:jc w:val="center"/>
        <w:rPr/>
      </w:pPr>
      <w:r>
        <w:rPr>
          <w:rFonts w:ascii="Times New Roman;serif" w:hAnsi="Times New Roman;serif"/>
          <w:b/>
          <w:color w:val="000000"/>
          <w:sz w:val="48"/>
        </w:rPr>
        <w:t>Churchill Downs Incorporated</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427" w:type="dxa"/>
        <w:jc w:val="center"/>
        <w:tblInd w:w="0" w:type="dxa"/>
        <w:tblLayout w:type="fixed"/>
        <w:tblCellMar>
          <w:top w:w="28" w:type="dxa"/>
          <w:left w:w="28" w:type="dxa"/>
          <w:bottom w:w="28" w:type="dxa"/>
          <w:right w:w="28" w:type="dxa"/>
        </w:tblCellMar>
      </w:tblPr>
      <w:tblGrid>
        <w:gridCol w:w="469"/>
        <w:gridCol w:w="411"/>
        <w:gridCol w:w="411"/>
        <w:gridCol w:w="411"/>
        <w:gridCol w:w="411"/>
        <w:gridCol w:w="411"/>
        <w:gridCol w:w="411"/>
        <w:gridCol w:w="411"/>
        <w:gridCol w:w="430"/>
        <w:gridCol w:w="381"/>
        <w:gridCol w:w="381"/>
        <w:gridCol w:w="381"/>
        <w:gridCol w:w="381"/>
        <w:gridCol w:w="381"/>
        <w:gridCol w:w="389"/>
        <w:gridCol w:w="992"/>
        <w:gridCol w:w="992"/>
        <w:gridCol w:w="1001"/>
        <w:gridCol w:w="109"/>
        <w:gridCol w:w="109"/>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Kentucky</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001-33998</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Louisville</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Kentucky</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6"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(502)-636-4400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l4a-12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center"/>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tbl>
      <w:tblPr>
        <w:tblW w:w="10205" w:type="dxa"/>
        <w:jc w:val="center"/>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Alternatives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Churchill Downs Incorporated (the "Company") has completed a comprehensive review of the Company's operational portfolio and long-term capital allocation priorities. The Company is exploring various options to sell the following wholly owned regional gaming properties: Calder Casino in Florida, Terre Haute Casino Resort in Indiana, Hard Rock Hotel &amp; Casino in Iowa, Oxford Casino Hotel in Maine, Ocean Downs Casino and Racetrack in Maryland, Harlow’s Casino Resort and Spa and Riverwalk Casino Hotel in Mississippi, del Lago Resort and Casino in New York, and Presque Isle Downs and Casino in Pennsylvania.</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can provide no assurances that its exploration of strategic alternatives will result in the Company pursuing a transaction or that any transaction, if pursued, will be completed on defined terms or at all. The Company has not set a timetable for the completion of this process and does not intend to provide updates unless and until it is determined that disclosure is appropriate or required by law.</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Current Report on Form 8-K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Although the Company believes that the expectations reflected in such forward-looking statements are reasonable, the Company can give no assurance that such expectations will prove to be correct. Important factors that could cause actual results to differ materially from expectations include the following: whether the objective of the strategic alternative review process will be achieved; the terms, structure, benefits and costs of any strategic transaction; the timing of any strategic transaction and whether any strategic transaction will be consummated on the terms proposed or at all; the risk that the announcement or exploration of strategic alternatives could have an adverse effect on the ability of the Company to retain key personnel and maintain relationships with partners, suppliers, employees, shareholders and other business relationships; the risk of any unexpected costs or expenses resulting from the exploration of strategic alternatives; the risk of any litigation relating to the exploration of strategic alternatives or any strategic transaction; changes in the price of the Company’s common stock and general market conditions; and other factors described under the heading “Risk Factors” in the Company’s most recent Annual Report on Form 10-K and in other filings the Company makes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Company does not undertake any obligation to update or revise any forward-looking statements, whether as a result of new information, future events or otherwise, except as required by law.</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905" w:type="dxa"/>
        <w:jc w:val="left"/>
        <w:tblInd w:w="0" w:type="dxa"/>
        <w:tblLayout w:type="fixed"/>
        <w:tblCellMar>
          <w:top w:w="28" w:type="dxa"/>
          <w:left w:w="28" w:type="dxa"/>
          <w:bottom w:w="28" w:type="dxa"/>
          <w:right w:w="28" w:type="dxa"/>
        </w:tblCellMar>
      </w:tblPr>
      <w:tblGrid>
        <w:gridCol w:w="124"/>
        <w:gridCol w:w="109"/>
        <w:gridCol w:w="109"/>
        <w:gridCol w:w="496"/>
        <w:gridCol w:w="496"/>
        <w:gridCol w:w="496"/>
        <w:gridCol w:w="492"/>
        <w:gridCol w:w="492"/>
        <w:gridCol w:w="492"/>
        <w:gridCol w:w="1930"/>
        <w:gridCol w:w="1930"/>
        <w:gridCol w:w="2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being furnished as an exhibit to the Current Report on Form 8-K.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65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820" w:type="dxa"/>
        <w:jc w:val="center"/>
        <w:tblInd w:w="0" w:type="dxa"/>
        <w:tblLayout w:type="fixed"/>
        <w:tblCellMar>
          <w:top w:w="28" w:type="dxa"/>
          <w:left w:w="28" w:type="dxa"/>
          <w:bottom w:w="28" w:type="dxa"/>
          <w:right w:w="28" w:type="dxa"/>
        </w:tblCellMar>
      </w:tblPr>
      <w:tblGrid>
        <w:gridCol w:w="443"/>
        <w:gridCol w:w="390"/>
        <w:gridCol w:w="396"/>
        <w:gridCol w:w="109"/>
        <w:gridCol w:w="109"/>
        <w:gridCol w:w="109"/>
        <w:gridCol w:w="1540"/>
        <w:gridCol w:w="1540"/>
        <w:gridCol w:w="218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K. Blackwell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Bradley K. Blackwell</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General Counsel and Secretary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4954</Characters>
  <CharactersWithSpaces>5772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