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45.jpeg" ContentType="image/jpeg"/>
  <Override PartName="/word/media/image40.jpeg" ContentType="image/jpeg"/>
  <Override PartName="/word/media/image13.jpeg" ContentType="image/jpeg"/>
  <Override PartName="/word/media/image46.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3994ddef14a.htm"/>
        <w:bookmarkStart w:id="1" w:name="ksd123994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w:t>
      </w:r>
    </w:p>
    <w:p>
      <w:pPr>
        <w:pStyle w:val="TextBody"/>
        <w:bidi w:val="0"/>
        <w:spacing w:before="0" w:after="0"/>
        <w:jc w:val="center"/>
        <w:rPr>
          <w:rFonts w:ascii="Times New Roman" w:hAnsi="Times New Roman"/>
          <w:b/>
          <w:sz w:val="36"/>
        </w:rPr>
      </w:pPr>
      <w:r>
        <w:rPr>
          <w:rFonts w:ascii="Times New Roman" w:hAnsi="Times New Roman"/>
          <w:b/>
          <w:sz w:val="36"/>
        </w:rPr>
        <w:t>COMMISSION</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(Rule </w:t>
      </w:r>
    </w:p>
    <w:p>
      <w:pPr>
        <w:pStyle w:val="TextBody"/>
        <w:bidi w:val="0"/>
        <w:spacing w:before="0" w:after="0"/>
        <w:jc w:val="center"/>
        <w:rPr>
          <w:rFonts w:ascii="Times New Roman" w:hAnsi="Times New Roman"/>
          <w:b/>
          <w:sz w:val="24"/>
        </w:rPr>
      </w:pPr>
      <w:r>
        <w:rPr>
          <w:rFonts w:ascii="Times New Roman" w:hAnsi="Times New Roman"/>
          <w:b/>
          <w:sz w:val="24"/>
        </w:rPr>
        <w:t>14a-101)</w:t>
      </w:r>
    </w:p>
    <w:p>
      <w:pPr>
        <w:pStyle w:val="TextBody"/>
        <w:bidi w:val="0"/>
        <w:spacing w:before="0" w:after="0"/>
        <w:jc w:val="center"/>
        <w:rPr>
          <w:rFonts w:ascii="Times New Roman" w:hAnsi="Times New Roman"/>
          <w:b/>
          <w:sz w:val="24"/>
        </w:rPr>
      </w:pPr>
      <w:r>
        <w:rPr>
          <w:rFonts w:ascii="Times New Roman" w:hAnsi="Times New Roman"/>
          <w:b/>
          <w:sz w:val="24"/>
        </w:rPr>
        <w:t xml:space="preserve">INFORMATION REQUIRED IN PROXY STATEMENT </w:t>
      </w:r>
    </w:p>
    <w:p>
      <w:pPr>
        <w:pStyle w:val="TextBody"/>
        <w:bidi w:val="0"/>
        <w:spacing w:before="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w:t>
      </w:r>
    </w:p>
    <w:p>
      <w:pPr>
        <w:pStyle w:val="TextBody"/>
        <w:bidi w:val="0"/>
        <w:spacing w:before="0" w:after="0"/>
        <w:jc w:val="center"/>
        <w:rPr>
          <w:rFonts w:ascii="Times New Roman" w:hAnsi="Times New Roman"/>
          <w:b/>
          <w:sz w:val="24"/>
        </w:rPr>
      </w:pPr>
      <w:r>
        <w:rPr>
          <w:rFonts w:ascii="Times New Roman" w:hAnsi="Times New Roman"/>
          <w:b/>
          <w:sz w:val="24"/>
        </w:rPr>
        <w:t>1934</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sz w:val="16"/>
        </w:rPr>
        <w:t xml:space="preserve">Filed by the Registrant ☒       Filed by a party other than the Registrant ☐ </w:t>
      </w:r>
    </w:p>
    <w:p>
      <w:pPr>
        <w:pStyle w:val="TextBody"/>
        <w:bidi w:val="0"/>
        <w:spacing w:before="120" w:after="0"/>
        <w:jc w:val="left"/>
        <w:rPr>
          <w:rFonts w:ascii="Times New Roman" w:hAnsi="Times New Roman"/>
          <w:sz w:val="16"/>
        </w:rPr>
      </w:pPr>
      <w:r>
        <w:rPr>
          <w:rFonts w:ascii="Times New Roman" w:hAnsi="Times New Roman"/>
          <w:sz w:val="16"/>
        </w:rPr>
        <w:t xml:space="preserve">Check the appropriate box: </w:t>
      </w:r>
    </w:p>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245"/>
        <w:gridCol w:w="2075"/>
      </w:tblGrid>
      <w:tr>
        <w:trPr/>
        <w:tc>
          <w:tcPr>
            <w:tcW w:w="245"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Preliminary Proxy Statement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245"/>
        <w:gridCol w:w="4985"/>
      </w:tblGrid>
      <w:tr>
        <w:trPr/>
        <w:tc>
          <w:tcPr>
            <w:tcW w:w="245"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 xml:space="preserve">Confidential, for Use of the Commission Only (as permitted by Rule </w:t>
            </w:r>
          </w:p>
          <w:p>
            <w:pPr>
              <w:pStyle w:val="TableContents"/>
              <w:bidi w:val="0"/>
              <w:spacing w:before="0" w:after="0"/>
              <w:jc w:val="left"/>
              <w:rPr>
                <w:rFonts w:ascii="Times New Roman" w:hAnsi="Times New Roman"/>
                <w:b/>
                <w:sz w:val="16"/>
              </w:rPr>
            </w:pPr>
            <w:r>
              <w:rPr>
                <w:rFonts w:ascii="Times New Roman" w:hAnsi="Times New Roman"/>
                <w:b/>
                <w:sz w:val="16"/>
              </w:rPr>
              <w:t>14a-6(e)(2))</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245"/>
        <w:gridCol w:w="1955"/>
      </w:tblGrid>
      <w:tr>
        <w:trPr/>
        <w:tc>
          <w:tcPr>
            <w:tcW w:w="245"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Definitive Proxy Statement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Definitive Additional Materials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Soliciting Material Pursuant to </w:t>
            </w:r>
          </w:p>
          <w:p>
            <w:pPr>
              <w:pStyle w:val="TableContents"/>
              <w:bidi w:val="0"/>
              <w:spacing w:before="0" w:after="0"/>
              <w:jc w:val="left"/>
              <w:rPr>
                <w:rFonts w:ascii="Times New Roman" w:hAnsi="Times New Roman"/>
                <w:sz w:val="16"/>
              </w:rPr>
            </w:pPr>
            <w:r>
              <w:rPr>
                <w:rFonts w:ascii="Times New Roman" w:hAnsi="Times New Roman"/>
                <w:sz w:val="16"/>
              </w:rPr>
              <w:t>§240.14a-12</w:t>
            </w:r>
          </w:p>
        </w:tc>
      </w:tr>
    </w:tbl>
    <w:p>
      <w:pPr>
        <w:pStyle w:val="TextBody"/>
        <w:bidi w:val="0"/>
        <w:spacing w:before="240" w:after="0"/>
        <w:jc w:val="center"/>
        <w:rPr>
          <w:rFonts w:ascii="Times New Roman" w:hAnsi="Times New Roman"/>
          <w:b/>
          <w:sz w:val="40"/>
        </w:rPr>
      </w:pPr>
      <w:r>
        <w:rPr>
          <w:rFonts w:ascii="Times New Roman" w:hAnsi="Times New Roman"/>
          <w:b/>
          <w:sz w:val="40"/>
        </w:rPr>
        <w:t xml:space="preserve">CHURCHILL DOWNS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12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120" w:after="0"/>
        <w:jc w:val="left"/>
        <w:rPr>
          <w:rFonts w:ascii="Times New Roman" w:hAnsi="Times New Roman"/>
          <w:sz w:val="16"/>
        </w:rPr>
      </w:pPr>
      <w:r>
        <w:rPr>
          <w:rFonts w:ascii="Times New Roman" w:hAnsi="Times New Roman"/>
          <w:sz w:val="16"/>
        </w:rPr>
        <w:t xml:space="preserve">Payment of Filing Fee (Check all boxes that apply): </w:t>
      </w:r>
    </w:p>
    <w:tbl>
      <w:tblPr>
        <w:tblW w:w="8049" w:type="dxa"/>
        <w:jc w:val="left"/>
        <w:tblInd w:w="0" w:type="dxa"/>
        <w:tblLayout w:type="fixed"/>
        <w:tblCellMar>
          <w:top w:w="0" w:type="dxa"/>
          <w:left w:w="0" w:type="dxa"/>
          <w:bottom w:w="0" w:type="dxa"/>
          <w:right w:w="0" w:type="dxa"/>
        </w:tblCellMar>
      </w:tblPr>
      <w:tblGrid>
        <w:gridCol w:w="245"/>
        <w:gridCol w:w="60"/>
        <w:gridCol w:w="2115"/>
        <w:gridCol w:w="2115"/>
        <w:gridCol w:w="3514"/>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pPr>
            <w:r>
              <w:rPr/>
              <w:t>14a-6(i)(1)</w:t>
            </w:r>
          </w:p>
          <w:p>
            <w:pPr>
              <w:pStyle w:val="TableContents"/>
              <w:bidi w:val="0"/>
              <w:spacing w:before="0" w:after="0"/>
              <w:jc w:val="left"/>
              <w:rPr/>
            </w:pPr>
            <w:r>
              <w:rPr/>
              <w:t xml:space="preserve">and </w:t>
            </w:r>
          </w:p>
          <w:p>
            <w:pPr>
              <w:pStyle w:val="TableContents"/>
              <w:bidi w:val="0"/>
              <w:spacing w:before="0" w:after="0"/>
              <w:jc w:val="left"/>
              <w:rPr/>
            </w:pPr>
            <w:r>
              <w:rPr/>
              <w:t>0-11.</w:t>
            </w:r>
          </w:p>
        </w:tc>
      </w:tr>
    </w:tbl>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2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24876"/>
                <w:sz w:val="48"/>
              </w:rPr>
            </w:pPr>
            <w:r>
              <w:rPr>
                <w:rFonts w:ascii="arial" w:hAnsi="arial"/>
                <w:b/>
                <w:color w:val="024876"/>
                <w:sz w:val="48"/>
              </w:rPr>
              <w:t>DEAR FELLOW SHAREHOLDERS,</w:t>
            </w:r>
          </w:p>
          <w:p>
            <w:pPr>
              <w:pStyle w:val="TableContents"/>
              <w:bidi w:val="0"/>
              <w:spacing w:before="0" w:after="0"/>
              <w:jc w:val="left"/>
              <w:rPr/>
            </w:pPr>
            <w:r>
              <w:rPr/>
              <w:t> </w:t>
            </w:r>
          </w:p>
          <w:p>
            <w:pPr>
              <w:pStyle w:val="TableContents"/>
              <w:bidi w:val="0"/>
              <w:spacing w:before="0" w:after="20"/>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283"/>
              <w:jc w:val="left"/>
              <w:rPr/>
            </w:pPr>
            <w:r>
              <w:rPr/>
              <w:t>In 2025, we delivered exceptional record financial performance from our diversified portfolio of businesses, generating record net revenue of $2.9 billion, net income of $383.0 million, and record Adjusted EBITDA of $1.2 billion.</w:t>
            </w:r>
          </w:p>
        </w:tc>
      </w:tr>
      <w:tr>
        <w:trPr/>
        <w:tc>
          <w:tcPr>
            <w:tcW w:w="121" w:type="dxa"/>
            <w:gridSpan w:val="3"/>
            <w:tcBorders/>
            <w:vAlign w:val="center"/>
          </w:tcPr>
          <w:p>
            <w:pPr>
              <w:pStyle w:val="TableContents"/>
              <w:bidi w:val="0"/>
              <w:spacing w:before="0" w:after="283"/>
              <w:jc w:val="left"/>
              <w:rPr>
                <w:sz w:val="4"/>
                <w:szCs w:val="4"/>
              </w:rPr>
            </w:pPr>
            <w:r>
              <w:rPr>
                <w:sz w:val="4"/>
                <w:szCs w:val="4"/>
              </w:rPr>
            </w:r>
          </w:p>
        </w:tc>
        <w:tc>
          <w:tcPr>
            <w:tcW w:w="10084"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24876"/>
                <w:sz w:val="20"/>
              </w:rPr>
            </w:pPr>
            <w:r>
              <w:rPr>
                <w:rFonts w:ascii="arial" w:hAnsi="arial"/>
                <w:b/>
                <w:color w:val="024876"/>
                <w:sz w:val="20"/>
              </w:rPr>
              <w:t>Key Highlights</w:t>
            </w:r>
          </w:p>
          <w:p>
            <w:pPr>
              <w:pStyle w:val="TableContents"/>
              <w:bidi w:val="0"/>
              <w:spacing w:before="0" w:after="0"/>
              <w:jc w:val="left"/>
              <w:rPr/>
            </w:pPr>
            <w:r>
              <w:rPr/>
              <w:t> </w:t>
            </w:r>
          </w:p>
          <w:p>
            <w:pPr>
              <w:pStyle w:val="TableContents"/>
              <w:bidi w:val="0"/>
              <w:spacing w:before="0" w:after="0"/>
              <w:jc w:val="left"/>
              <w:rPr/>
            </w:pPr>
            <w:r>
              <w:rPr>
                <w:color w:val="024876"/>
              </w:rPr>
              <w:t>●</w:t>
            </w:r>
            <w:r>
              <w:rPr/>
              <w:t>   </w:t>
            </w:r>
            <w:r>
              <w:rPr>
                <w:rFonts w:ascii="arial" w:hAnsi="arial"/>
                <w:sz w:val="20"/>
              </w:rPr>
              <w:t>Celebrated the 151st running of the Kentucky Derby: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Achieved all-time wagering records and record peak viewership on NBC.</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Completed the new Starting Gate Pavilion and Courtyard.</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Renewed the NBC broadcast contract with significantly enhanced economics.</w:t>
            </w:r>
          </w:p>
          <w:p>
            <w:pPr>
              <w:pStyle w:val="TableContents"/>
              <w:bidi w:val="0"/>
              <w:spacing w:before="0" w:after="0"/>
              <w:jc w:val="left"/>
              <w:rPr/>
            </w:pPr>
            <w:r>
              <w:rPr/>
              <w:t> </w:t>
            </w:r>
          </w:p>
          <w:p>
            <w:pPr>
              <w:pStyle w:val="TableContents"/>
              <w:bidi w:val="0"/>
              <w:spacing w:before="0" w:after="0"/>
              <w:jc w:val="left"/>
              <w:rPr/>
            </w:pPr>
            <w:r>
              <w:rPr>
                <w:color w:val="024876"/>
              </w:rPr>
              <w:t>●</w:t>
            </w:r>
            <w:r>
              <w:rPr/>
              <w:t>   </w:t>
            </w:r>
            <w:r>
              <w:rPr>
                <w:rFonts w:ascii="arial" w:hAnsi="arial"/>
                <w:sz w:val="20"/>
              </w:rPr>
              <w:t>Continued the expansion of our HRM businesses: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Opened Owensboro Racing &amp; Gaming in Owensboro, Kentucky, in February 2025.</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Expanded Rosie’s Richmond in Richmond, Virginia, in August 2025.</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Opened Roseshire Gaming Parlor in Henrico County, Virginia, in September 2025.</w:t>
            </w:r>
          </w:p>
          <w:p>
            <w:pPr>
              <w:pStyle w:val="TableContents"/>
              <w:bidi w:val="0"/>
              <w:spacing w:before="0" w:after="0"/>
              <w:jc w:val="left"/>
              <w:rPr/>
            </w:pPr>
            <w:r>
              <w:rPr/>
              <w:t> </w:t>
            </w:r>
          </w:p>
          <w:p>
            <w:pPr>
              <w:pStyle w:val="TableContents"/>
              <w:bidi w:val="0"/>
              <w:spacing w:before="0" w:after="0"/>
              <w:jc w:val="left"/>
              <w:rPr/>
            </w:pPr>
            <w:r>
              <w:rPr>
                <w:color w:val="024876"/>
              </w:rPr>
              <w:t>●</w:t>
            </w:r>
            <w:r>
              <w:rPr/>
              <w:t>   </w:t>
            </w:r>
            <w:r>
              <w:rPr>
                <w:rFonts w:ascii="arial" w:hAnsi="arial"/>
                <w:sz w:val="20"/>
              </w:rPr>
              <w:t>Returned $456.3 million to shareholders through share repurchases and dividends.</w:t>
            </w:r>
          </w:p>
          <w:p>
            <w:pPr>
              <w:pStyle w:val="TableContents"/>
              <w:bidi w:val="0"/>
              <w:spacing w:before="0" w:after="0"/>
              <w:jc w:val="left"/>
              <w:rPr/>
            </w:pPr>
            <w:r>
              <w:rPr/>
              <w:t> </w:t>
            </w:r>
          </w:p>
          <w:p>
            <w:pPr>
              <w:pStyle w:val="TableContents"/>
              <w:bidi w:val="0"/>
              <w:spacing w:before="0" w:after="0"/>
              <w:jc w:val="left"/>
              <w:rPr/>
            </w:pPr>
            <w:r>
              <w:rPr>
                <w:color w:val="024876"/>
              </w:rPr>
              <w:t>●</w:t>
            </w:r>
            <w:r>
              <w:rPr/>
              <w:t>   </w:t>
            </w:r>
            <w:r>
              <w:rPr>
                <w:rFonts w:ascii="arial" w:hAnsi="arial"/>
                <w:sz w:val="20"/>
              </w:rPr>
              <w:t>Announced our 15th consecutive year of increased dividends per share.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We enter 2026 with strong momentum and a compelling slate of projects designed to enhance the Kentucky Derby experience, expand our HRM footprint, and generate long-term shareholder value.</w:t>
            </w:r>
          </w:p>
          <w:p>
            <w:pPr>
              <w:pStyle w:val="TableContents"/>
              <w:bidi w:val="0"/>
              <w:spacing w:before="0" w:after="0"/>
              <w:jc w:val="left"/>
              <w:rPr/>
            </w:pPr>
            <w:r>
              <w:rPr/>
              <w:t> </w:t>
            </w:r>
          </w:p>
          <w:p>
            <w:pPr>
              <w:pStyle w:val="TableContents"/>
              <w:bidi w:val="0"/>
              <w:spacing w:before="0" w:after="0"/>
              <w:jc w:val="left"/>
              <w:rPr>
                <w:rFonts w:ascii="arial" w:hAnsi="arial"/>
                <w:b/>
                <w:color w:val="024876"/>
                <w:sz w:val="20"/>
              </w:rPr>
            </w:pPr>
            <w:r>
              <w:rPr>
                <w:rFonts w:ascii="arial" w:hAnsi="arial"/>
                <w:b/>
                <w:color w:val="024876"/>
                <w:sz w:val="20"/>
              </w:rPr>
              <w:t>Growth Initiatives:</w:t>
            </w:r>
          </w:p>
          <w:p>
            <w:pPr>
              <w:pStyle w:val="TableContents"/>
              <w:bidi w:val="0"/>
              <w:spacing w:before="0" w:after="0"/>
              <w:jc w:val="left"/>
              <w:rPr/>
            </w:pPr>
            <w:r>
              <w:rPr/>
              <w:t> </w:t>
            </w:r>
          </w:p>
          <w:p>
            <w:pPr>
              <w:pStyle w:val="TableContents"/>
              <w:bidi w:val="0"/>
              <w:spacing w:before="0" w:after="0"/>
              <w:jc w:val="left"/>
              <w:rPr/>
            </w:pPr>
            <w:r>
              <w:rPr>
                <w:color w:val="024876"/>
              </w:rPr>
              <w:t>●</w:t>
            </w:r>
            <w:r>
              <w:rPr/>
              <w:t>   </w:t>
            </w:r>
            <w:r>
              <w:rPr>
                <w:rFonts w:ascii="arial" w:hAnsi="arial"/>
                <w:sz w:val="20"/>
              </w:rPr>
              <w:t>We continue to invest in and elevate the Derby as a week long event:</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The 152nd Kentucky Oaks will premier in primetime on NBC Friday evening, May 1, 2026, further strengthening Derby Week’s national reach.</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Renovations of the Finish Line Suites and The Mansion – two of our most exclusive hospitality areas – will debut for Derby Week in 2026.</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Victory Run, a new reserved seating structure featuring suites, covered seating, and elevated hospitality offerings, is scheduled to debut for the 2028 Kentucky Derby.</w:t>
            </w:r>
          </w:p>
          <w:p>
            <w:pPr>
              <w:pStyle w:val="TableContents"/>
              <w:bidi w:val="0"/>
              <w:spacing w:before="0" w:after="0"/>
              <w:jc w:val="left"/>
              <w:rPr/>
            </w:pPr>
            <w:r>
              <w:rPr/>
              <w:t> </w:t>
            </w:r>
          </w:p>
          <w:p>
            <w:pPr>
              <w:pStyle w:val="TableContents"/>
              <w:bidi w:val="0"/>
              <w:spacing w:before="0" w:after="0"/>
              <w:jc w:val="left"/>
              <w:rPr/>
            </w:pPr>
            <w:r>
              <w:rPr>
                <w:color w:val="024876"/>
              </w:rPr>
              <w:t>●</w:t>
            </w:r>
            <w:r>
              <w:rPr/>
              <w:t>   </w:t>
            </w:r>
            <w:r>
              <w:rPr>
                <w:rFonts w:ascii="arial" w:hAnsi="arial"/>
                <w:sz w:val="20"/>
              </w:rPr>
              <w:t>We remain committed to expanding our historical horse racing machine entertainment venues and supporting the broader horse racing ecosystem:</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Opened Marshall Yards Racing &amp; Gaming in Calvert City, Kentucky in February 2026.</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Continued development of Rockingham Grand Casino in Salem, New Hampshire.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Over the past several years, our team has demonstrated the ability to successfully execute high-return growth projects while maintaining a strong balance sheet and disciplined capital allocation. We remain focused on sustainable growth and delivering consistent long-term total shareholder return. On behalf of our Board of Directors and our entire team, we thank you for your continued investment in Churchill Downs Incorporated.</w:t>
            </w:r>
          </w:p>
        </w:tc>
      </w:tr>
    </w:tbl>
    <w:p>
      <w:pPr>
        <w:pStyle w:val="TextBody"/>
        <w:bidi w:val="0"/>
        <w:spacing w:before="0" w:after="0"/>
        <w:jc w:val="left"/>
        <w:rPr/>
      </w:pPr>
      <w:r>
        <w:rPr/>
        <w:t> </w:t>
      </w:r>
    </w:p>
    <w:tbl>
      <w:tblPr>
        <w:tblW w:w="9661" w:type="dxa"/>
        <w:jc w:val="left"/>
        <w:tblInd w:w="0" w:type="dxa"/>
        <w:tblLayout w:type="fixed"/>
        <w:tblCellMar>
          <w:top w:w="0" w:type="dxa"/>
          <w:left w:w="0" w:type="dxa"/>
          <w:bottom w:w="0" w:type="dxa"/>
          <w:right w:w="0" w:type="dxa"/>
        </w:tblCellMar>
      </w:tblPr>
      <w:tblGrid>
        <w:gridCol w:w="1395"/>
        <w:gridCol w:w="120"/>
        <w:gridCol w:w="2835"/>
        <w:gridCol w:w="60"/>
        <w:gridCol w:w="1380"/>
        <w:gridCol w:w="120"/>
        <w:gridCol w:w="3751"/>
      </w:tblGrid>
      <w:tr>
        <w:trPr/>
        <w:tc>
          <w:tcPr>
            <w:tcW w:w="1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395" w:type="dxa"/>
            <w:tcBorders/>
            <w:vAlign w:val="center"/>
          </w:tcPr>
          <w:p>
            <w:pPr>
              <w:pStyle w:val="TableContents"/>
              <w:bidi w:val="0"/>
              <w:spacing w:before="0" w:after="283"/>
              <w:jc w:val="left"/>
              <w:rPr/>
            </w:pPr>
            <w:r>
              <w:rPr/>
              <w:drawing>
                <wp:inline distT="0" distB="0" distL="0" distR="0">
                  <wp:extent cx="838200"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38200" cy="10668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762125" cy="2838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62125" cy="283845"/>
                          </a:xfrm>
                          <a:prstGeom prst="rect">
                            <a:avLst/>
                          </a:prstGeom>
                        </pic:spPr>
                      </pic:pic>
                    </a:graphicData>
                  </a:graphic>
                </wp:inline>
              </w:drawing>
            </w:r>
            <w:r>
              <w:rPr/>
              <w:t xml:space="preserve"> </w:t>
            </w:r>
          </w:p>
          <w:p>
            <w:pPr>
              <w:pStyle w:val="TableContents"/>
              <w:bidi w:val="0"/>
              <w:spacing w:before="0" w:after="0"/>
              <w:jc w:val="left"/>
              <w:rPr>
                <w:rFonts w:ascii="arial" w:hAnsi="arial"/>
                <w:sz w:val="20"/>
              </w:rPr>
            </w:pPr>
            <w:r>
              <w:rPr>
                <w:rFonts w:ascii="arial" w:hAnsi="arial"/>
                <w:sz w:val="20"/>
              </w:rPr>
              <w:t>R. Alex Rankin</w:t>
            </w:r>
          </w:p>
          <w:p>
            <w:pPr>
              <w:pStyle w:val="TableContents"/>
              <w:bidi w:val="0"/>
              <w:spacing w:before="0" w:after="20"/>
              <w:jc w:val="left"/>
              <w:rPr>
                <w:rFonts w:ascii="arial" w:hAnsi="arial"/>
                <w:sz w:val="20"/>
              </w:rPr>
            </w:pPr>
            <w:r>
              <w:rPr>
                <w:rFonts w:ascii="arial" w:hAnsi="arial"/>
                <w:sz w:val="20"/>
              </w:rPr>
              <w:t>Chairman of the Board</w:t>
            </w:r>
          </w:p>
        </w:tc>
        <w:tc>
          <w:tcPr>
            <w:tcW w:w="60"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center"/>
              <w:rPr/>
            </w:pPr>
            <w:r>
              <w:rPr/>
              <w:drawing>
                <wp:inline distT="0" distB="0" distL="0" distR="0">
                  <wp:extent cx="838200" cy="1066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38200" cy="10668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2334260" cy="3879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34260" cy="387985"/>
                          </a:xfrm>
                          <a:prstGeom prst="rect">
                            <a:avLst/>
                          </a:prstGeom>
                        </pic:spPr>
                      </pic:pic>
                    </a:graphicData>
                  </a:graphic>
                </wp:inline>
              </w:drawing>
            </w:r>
            <w:r>
              <w:rPr/>
              <w:t xml:space="preserve"> </w:t>
            </w:r>
          </w:p>
          <w:p>
            <w:pPr>
              <w:pStyle w:val="TableContents"/>
              <w:bidi w:val="0"/>
              <w:spacing w:before="0" w:after="0"/>
              <w:jc w:val="left"/>
              <w:rPr>
                <w:rFonts w:ascii="arial" w:hAnsi="arial"/>
                <w:sz w:val="20"/>
              </w:rPr>
            </w:pPr>
            <w:r>
              <w:rPr>
                <w:rFonts w:ascii="arial" w:hAnsi="arial"/>
                <w:sz w:val="20"/>
              </w:rPr>
              <w:t>William C. Carstanjen</w:t>
            </w:r>
          </w:p>
          <w:p>
            <w:pPr>
              <w:pStyle w:val="TableContents"/>
              <w:bidi w:val="0"/>
              <w:spacing w:before="0" w:after="20"/>
              <w:jc w:val="left"/>
              <w:rPr>
                <w:rFonts w:ascii="arial" w:hAnsi="arial"/>
                <w:sz w:val="20"/>
              </w:rPr>
            </w:pPr>
            <w:r>
              <w:rPr>
                <w:rFonts w:ascii="arial" w:hAnsi="arial"/>
                <w:sz w:val="20"/>
              </w:rPr>
              <w:t>Chief Executive Officer</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2057400" cy="2870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57400" cy="287020"/>
                    </a:xfrm>
                    <a:prstGeom prst="rect">
                      <a:avLst/>
                    </a:prstGeom>
                  </pic:spPr>
                </pic:pic>
              </a:graphicData>
            </a:graphic>
          </wp:inline>
        </w:drawing>
      </w:r>
      <w:r>
        <w:rPr/>
        <w:t xml:space="preserve"> </w:t>
      </w:r>
    </w:p>
    <w:p>
      <w:pPr>
        <w:pStyle w:val="TextBody"/>
        <w:bidi w:val="0"/>
        <w:spacing w:before="80" w:after="0"/>
        <w:jc w:val="center"/>
        <w:rPr>
          <w:rFonts w:ascii="arial" w:hAnsi="arial"/>
          <w:sz w:val="20"/>
        </w:rPr>
      </w:pPr>
      <w:r>
        <w:rPr>
          <w:rFonts w:ascii="arial" w:hAnsi="arial"/>
          <w:sz w:val="20"/>
        </w:rPr>
        <w:t>600 N. H</w:t>
      </w:r>
      <w:r>
        <w:rPr>
          <w:rFonts w:ascii="arial" w:hAnsi="arial"/>
          <w:sz w:val="20"/>
          <w:u w:val="single"/>
        </w:rPr>
        <w:t>URSTBOURNE</w:t>
      </w:r>
      <w:r>
        <w:rPr>
          <w:rFonts w:ascii="arial" w:hAnsi="arial"/>
          <w:sz w:val="20"/>
        </w:rPr>
        <w:t xml:space="preserve"> P</w:t>
      </w:r>
      <w:r>
        <w:rPr>
          <w:rFonts w:ascii="arial" w:hAnsi="arial"/>
          <w:sz w:val="20"/>
          <w:u w:val="single"/>
        </w:rPr>
        <w:t>ARKWAY</w:t>
      </w:r>
      <w:r>
        <w:rPr>
          <w:rFonts w:ascii="arial" w:hAnsi="arial"/>
          <w:sz w:val="20"/>
        </w:rPr>
        <w:t>, S</w:t>
      </w:r>
      <w:r>
        <w:rPr>
          <w:rFonts w:ascii="arial" w:hAnsi="arial"/>
          <w:sz w:val="20"/>
          <w:u w:val="single"/>
        </w:rPr>
        <w:t>TE</w:t>
      </w:r>
      <w:r>
        <w:rPr>
          <w:rFonts w:ascii="arial" w:hAnsi="arial"/>
          <w:sz w:val="20"/>
        </w:rPr>
        <w:t xml:space="preserve">. 400 </w:t>
      </w:r>
    </w:p>
    <w:p>
      <w:pPr>
        <w:pStyle w:val="TextBody"/>
        <w:bidi w:val="0"/>
        <w:spacing w:before="0" w:after="0"/>
        <w:jc w:val="center"/>
        <w:rPr>
          <w:rFonts w:ascii="arial" w:hAnsi="arial"/>
          <w:sz w:val="20"/>
        </w:rPr>
      </w:pPr>
      <w:r>
        <w:rPr>
          <w:rFonts w:ascii="arial" w:hAnsi="arial"/>
          <w:sz w:val="20"/>
        </w:rPr>
        <w:t>L</w:t>
      </w:r>
      <w:r>
        <w:rPr>
          <w:rFonts w:ascii="arial" w:hAnsi="arial"/>
          <w:sz w:val="20"/>
          <w:u w:val="single"/>
        </w:rPr>
        <w:t>OUISVILLE</w:t>
      </w:r>
      <w:r>
        <w:rPr>
          <w:rFonts w:ascii="arial" w:hAnsi="arial"/>
          <w:sz w:val="20"/>
        </w:rPr>
        <w:t>, K</w:t>
      </w:r>
      <w:r>
        <w:rPr>
          <w:rFonts w:ascii="arial" w:hAnsi="arial"/>
          <w:sz w:val="20"/>
          <w:u w:val="single"/>
        </w:rPr>
        <w:t>ENTUCKY</w:t>
      </w:r>
      <w:r>
        <w:rPr>
          <w:rFonts w:ascii="arial" w:hAnsi="arial"/>
          <w:sz w:val="20"/>
        </w:rPr>
        <w:t xml:space="preserve"> 40222 </w:t>
      </w:r>
    </w:p>
    <w:p>
      <w:pPr>
        <w:pStyle w:val="TextBody"/>
        <w:bidi w:val="0"/>
        <w:spacing w:before="0" w:after="0"/>
        <w:jc w:val="left"/>
        <w:rPr/>
      </w:pPr>
      <w:r>
        <w:rPr/>
        <w:t> </w:t>
      </w:r>
    </w:p>
    <w:tbl>
      <w:tblPr>
        <w:tblW w:w="7326" w:type="dxa"/>
        <w:jc w:val="left"/>
        <w:tblInd w:w="0" w:type="dxa"/>
        <w:tblLayout w:type="fixed"/>
        <w:tblCellMar>
          <w:top w:w="0" w:type="dxa"/>
          <w:left w:w="0" w:type="dxa"/>
          <w:bottom w:w="0" w:type="dxa"/>
          <w:right w:w="0" w:type="dxa"/>
        </w:tblCellMar>
      </w:tblPr>
      <w:tblGrid>
        <w:gridCol w:w="75"/>
        <w:gridCol w:w="23"/>
        <w:gridCol w:w="23"/>
        <w:gridCol w:w="60"/>
        <w:gridCol w:w="7145"/>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45"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lineRule="atLeast" w:line="600" w:before="0" w:after="0"/>
              <w:jc w:val="left"/>
              <w:rPr>
                <w:rFonts w:ascii="arial" w:hAnsi="arial"/>
                <w:b/>
                <w:color w:val="004876"/>
                <w:sz w:val="48"/>
              </w:rPr>
            </w:pPr>
            <w:r>
              <w:rPr>
                <w:rFonts w:ascii="arial" w:hAnsi="arial"/>
                <w:b/>
                <w:color w:val="004876"/>
                <w:sz w:val="48"/>
              </w:rPr>
              <w:t>NOTICE OF ANNUAL MEETING</w:t>
            </w:r>
          </w:p>
          <w:p>
            <w:pPr>
              <w:pStyle w:val="TableContents"/>
              <w:bidi w:val="0"/>
              <w:spacing w:lineRule="atLeast" w:line="400" w:before="0" w:after="0"/>
              <w:jc w:val="left"/>
              <w:rPr>
                <w:rFonts w:ascii="arial" w:hAnsi="arial"/>
                <w:b/>
                <w:color w:val="004876"/>
                <w:sz w:val="48"/>
              </w:rPr>
            </w:pPr>
            <w:r>
              <w:rPr>
                <w:rFonts w:ascii="arial" w:hAnsi="arial"/>
                <w:b/>
                <w:color w:val="004876"/>
                <w:sz w:val="48"/>
              </w:rPr>
              <w:t>OF SHAREHOLDERS</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1"/>
        <w:gridCol w:w="60"/>
        <w:gridCol w:w="23"/>
        <w:gridCol w:w="60"/>
        <w:gridCol w:w="7681"/>
      </w:tblGrid>
      <w:tr>
        <w:trPr/>
        <w:tc>
          <w:tcPr>
            <w:tcW w:w="2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81"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004876"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20"/>
              </w:rPr>
            </w:pPr>
            <w:r>
              <w:rPr>
                <w:rFonts w:ascii="arial" w:hAnsi="arial"/>
                <w:b/>
                <w:color w:val="FFFFFF"/>
                <w:sz w:val="20"/>
              </w:rPr>
              <w:t>Date:</w:t>
            </w:r>
          </w:p>
          <w:p>
            <w:pPr>
              <w:pStyle w:val="TableContents"/>
              <w:bidi w:val="0"/>
              <w:spacing w:before="0" w:after="0"/>
              <w:jc w:val="left"/>
              <w:rPr>
                <w:rFonts w:ascii="arial" w:hAnsi="arial"/>
                <w:b/>
                <w:color w:val="FFFFFF"/>
                <w:sz w:val="20"/>
              </w:rPr>
            </w:pPr>
            <w:r>
              <w:rPr>
                <w:rFonts w:ascii="arial" w:hAnsi="arial"/>
                <w:b/>
                <w:color w:val="FFFFFF"/>
                <w:sz w:val="20"/>
              </w:rPr>
              <w:t>Tuesday, April 21, 2026</w:t>
            </w:r>
          </w:p>
          <w:p>
            <w:pPr>
              <w:pStyle w:val="TableContents"/>
              <w:bidi w:val="0"/>
              <w:spacing w:before="0" w:after="0"/>
              <w:jc w:val="left"/>
              <w:rPr/>
            </w:pPr>
            <w:r>
              <w:rPr/>
              <w:t> </w:t>
            </w:r>
          </w:p>
          <w:p>
            <w:pPr>
              <w:pStyle w:val="TableContents"/>
              <w:bidi w:val="0"/>
              <w:spacing w:before="0" w:after="0"/>
              <w:jc w:val="left"/>
              <w:rPr>
                <w:rFonts w:ascii="arial" w:hAnsi="arial"/>
                <w:b/>
                <w:color w:val="FFFFFF"/>
                <w:sz w:val="20"/>
              </w:rPr>
            </w:pPr>
            <w:r>
              <w:rPr>
                <w:rFonts w:ascii="arial" w:hAnsi="arial"/>
                <w:b/>
                <w:color w:val="FFFFFF"/>
                <w:sz w:val="20"/>
              </w:rPr>
              <w:t>Time:</w:t>
            </w:r>
          </w:p>
          <w:p>
            <w:pPr>
              <w:pStyle w:val="TableContents"/>
              <w:bidi w:val="0"/>
              <w:spacing w:before="0" w:after="0"/>
              <w:jc w:val="left"/>
              <w:rPr>
                <w:rFonts w:ascii="arial" w:hAnsi="arial"/>
                <w:b/>
                <w:color w:val="FFFFFF"/>
                <w:sz w:val="20"/>
              </w:rPr>
            </w:pPr>
            <w:r>
              <w:rPr>
                <w:rFonts w:ascii="arial" w:hAnsi="arial"/>
                <w:b/>
                <w:color w:val="FFFFFF"/>
                <w:sz w:val="20"/>
              </w:rPr>
              <w:t>9:00 a.m. Eastern Time</w:t>
            </w:r>
          </w:p>
          <w:p>
            <w:pPr>
              <w:pStyle w:val="TableContents"/>
              <w:bidi w:val="0"/>
              <w:spacing w:before="0" w:after="0"/>
              <w:jc w:val="left"/>
              <w:rPr/>
            </w:pPr>
            <w:r>
              <w:rPr/>
              <w:t> </w:t>
            </w:r>
          </w:p>
          <w:p>
            <w:pPr>
              <w:pStyle w:val="TableContents"/>
              <w:bidi w:val="0"/>
              <w:spacing w:before="0" w:after="0"/>
              <w:jc w:val="left"/>
              <w:rPr>
                <w:rFonts w:ascii="arial" w:hAnsi="arial"/>
                <w:b/>
                <w:color w:val="FFFFFF"/>
                <w:sz w:val="20"/>
              </w:rPr>
            </w:pPr>
            <w:r>
              <w:rPr>
                <w:rFonts w:ascii="arial" w:hAnsi="arial"/>
                <w:b/>
                <w:color w:val="FFFFFF"/>
                <w:sz w:val="20"/>
              </w:rPr>
              <w:t>Place:</w:t>
            </w:r>
          </w:p>
          <w:p>
            <w:pPr>
              <w:pStyle w:val="TableContents"/>
              <w:bidi w:val="0"/>
              <w:spacing w:before="0" w:after="0"/>
              <w:jc w:val="left"/>
              <w:rPr>
                <w:rFonts w:ascii="arial" w:hAnsi="arial"/>
                <w:b/>
                <w:color w:val="FFFFFF"/>
                <w:sz w:val="20"/>
              </w:rPr>
            </w:pPr>
            <w:r>
              <w:rPr>
                <w:rFonts w:ascii="arial" w:hAnsi="arial"/>
                <w:b/>
                <w:color w:val="FFFFFF"/>
                <w:sz w:val="20"/>
              </w:rPr>
              <w:t>Via a live audio-only webcast at</w:t>
            </w:r>
          </w:p>
          <w:p>
            <w:pPr>
              <w:pStyle w:val="TableContents"/>
              <w:bidi w:val="0"/>
              <w:spacing w:before="0" w:after="20"/>
              <w:jc w:val="left"/>
              <w:rPr>
                <w:rFonts w:ascii="arial" w:hAnsi="arial"/>
                <w:color w:val="FFFFFF"/>
                <w:sz w:val="20"/>
              </w:rPr>
            </w:pPr>
            <w:r>
              <w:rPr>
                <w:rFonts w:ascii="arial" w:hAnsi="arial"/>
                <w:color w:val="FFFFFF"/>
                <w:sz w:val="20"/>
              </w:rPr>
              <w:t>www.proxydocs.com/CHDN.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7681" w:type="dxa"/>
            <w:tcBorders/>
            <w:shd w:fill="F1EBD0" w:val="cle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Agenda:</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876"/>
                <w:sz w:val="20"/>
              </w:rPr>
              <w:t>I.</w:t>
            </w:r>
            <w:r>
              <w:rPr>
                <w:rFonts w:ascii="arial" w:hAnsi="arial"/>
                <w:sz w:val="20"/>
              </w:rPr>
              <w:t>   To elect the two (2) Class III Directors identified in this Proxy Statement for a term of three (3) years (Proposal No. 1);</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876"/>
                <w:sz w:val="20"/>
              </w:rPr>
              <w:t>II.</w:t>
            </w:r>
            <w:r>
              <w:rPr>
                <w:rFonts w:ascii="arial" w:hAnsi="arial"/>
                <w:sz w:val="20"/>
              </w:rPr>
              <w:t>  To ratify the appointment of PricewaterhouseCoopers LLP as the Company’s independent registered public accounting firm for fiscal year 2026 (Proposal No. 2);</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876"/>
                <w:sz w:val="20"/>
              </w:rPr>
              <w:t>III.</w:t>
            </w:r>
            <w:r>
              <w:rPr>
                <w:rFonts w:ascii="arial" w:hAnsi="arial"/>
                <w:sz w:val="20"/>
              </w:rPr>
              <w:t>   To conduct an advisory vote to approve executive compensation (Proposal No. 3); and</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876"/>
                <w:sz w:val="20"/>
              </w:rPr>
              <w:t>IV.</w:t>
            </w:r>
            <w:r>
              <w:rPr>
                <w:rFonts w:ascii="arial" w:hAnsi="arial"/>
                <w:sz w:val="20"/>
              </w:rPr>
              <w:t>   To transact such other business as may properly come before the meeting or any adjournment thereof, including matters incident to its conduct.</w:t>
            </w:r>
          </w:p>
          <w:p>
            <w:pPr>
              <w:pStyle w:val="TableContents"/>
              <w:bidi w:val="0"/>
              <w:spacing w:before="0" w:after="20"/>
              <w:jc w:val="left"/>
              <w:rPr/>
            </w:pPr>
            <w:r>
              <w:rPr/>
              <w:t> </w:t>
            </w:r>
          </w:p>
        </w:tc>
      </w:tr>
    </w:tbl>
    <w:p>
      <w:pPr>
        <w:pStyle w:val="TextBody"/>
        <w:bidi w:val="0"/>
        <w:spacing w:before="240" w:after="0"/>
        <w:jc w:val="left"/>
        <w:rPr>
          <w:rFonts w:ascii="arial" w:hAnsi="arial"/>
          <w:b/>
          <w:sz w:val="20"/>
        </w:rPr>
      </w:pPr>
      <w:r>
        <w:rPr>
          <w:rFonts w:ascii="arial" w:hAnsi="arial"/>
          <w:b/>
          <w:sz w:val="20"/>
        </w:rPr>
        <w:t xml:space="preserve">Record Date: </w:t>
      </w:r>
    </w:p>
    <w:p>
      <w:pPr>
        <w:pStyle w:val="TextBody"/>
        <w:bidi w:val="0"/>
        <w:spacing w:before="120" w:after="0"/>
        <w:jc w:val="left"/>
        <w:rPr>
          <w:rFonts w:ascii="arial" w:hAnsi="arial"/>
          <w:sz w:val="20"/>
        </w:rPr>
      </w:pPr>
      <w:r>
        <w:rPr>
          <w:rFonts w:ascii="arial" w:hAnsi="arial"/>
          <w:sz w:val="20"/>
        </w:rPr>
        <w:t xml:space="preserve">The close of business on March 2, 2026 has been fixed as the record date for determining the shareholders entitled to notice of, and to vote at, the Annual Meeting. Only shareholders of record at that time will be entitled to notice of and to vote at the Annual Meeting and at any adjournments thereof. </w:t>
      </w:r>
    </w:p>
    <w:p>
      <w:pPr>
        <w:pStyle w:val="TextBody"/>
        <w:bidi w:val="0"/>
        <w:spacing w:before="240" w:after="0"/>
        <w:jc w:val="left"/>
        <w:rPr>
          <w:rFonts w:ascii="arial" w:hAnsi="arial"/>
          <w:b/>
          <w:sz w:val="20"/>
        </w:rPr>
      </w:pPr>
      <w:r>
        <w:rPr>
          <w:rFonts w:ascii="arial" w:hAnsi="arial"/>
          <w:b/>
          <w:sz w:val="20"/>
        </w:rPr>
        <w:t xml:space="preserve">Voting: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25"/>
        <w:gridCol w:w="120"/>
        <w:gridCol w:w="60"/>
        <w:gridCol w:w="585"/>
        <w:gridCol w:w="60"/>
        <w:gridCol w:w="120"/>
        <w:gridCol w:w="1235"/>
      </w:tblGrid>
      <w:tr>
        <w:trPr/>
        <w:tc>
          <w:tcPr>
            <w:tcW w:w="8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8025" w:type="dxa"/>
            <w:vMerge w:val="restart"/>
            <w:tcBorders/>
            <w:vAlign w:val="center"/>
          </w:tcPr>
          <w:p>
            <w:pPr>
              <w:pStyle w:val="TableContents"/>
              <w:bidi w:val="0"/>
              <w:spacing w:before="0" w:after="283"/>
              <w:jc w:val="left"/>
              <w:rPr>
                <w:b/>
                <w:color w:val="004876"/>
              </w:rPr>
            </w:pPr>
            <w:r>
              <w:rPr>
                <w:b/>
                <w:color w:val="004876"/>
              </w:rPr>
              <w:t>To attend and vote during the Annual Meeting, visit www.proxydocs.com/CHDN. All shareholders, including those who expect to attend the Annual Meeting virtually, are urged to vote prior to the Annual Meeting by telephone or Internet or by requesting and promptly signing and returning a proxy card, as more fully described in the Notice of Internet Availability of Proxy Materials.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500" w:before="0" w:after="0"/>
              <w:jc w:val="left"/>
              <w:rPr/>
            </w:pPr>
            <w:r>
              <w:rPr/>
              <w:t> </w:t>
            </w:r>
          </w:p>
        </w:tc>
        <w:tc>
          <w:tcPr>
            <w:tcW w:w="585" w:type="dxa"/>
            <w:tcBorders/>
            <w:vAlign w:val="center"/>
          </w:tcPr>
          <w:p>
            <w:pPr>
              <w:pStyle w:val="TableContents"/>
              <w:bidi w:val="0"/>
              <w:spacing w:lineRule="atLeast" w:line="500" w:before="0" w:after="0"/>
              <w:jc w:val="right"/>
              <w:rPr/>
            </w:pPr>
            <w:r>
              <w:rPr/>
              <w:drawing>
                <wp:inline distT="0" distB="0" distL="0" distR="0">
                  <wp:extent cx="230505" cy="3117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0505" cy="311785"/>
                          </a:xfrm>
                          <a:prstGeom prst="rect">
                            <a:avLst/>
                          </a:prstGeom>
                        </pic:spPr>
                      </pic:pic>
                    </a:graphicData>
                  </a:graphic>
                </wp:inline>
              </w:drawing>
            </w:r>
            <w:r>
              <w:rPr/>
              <w:t xml:space="preserve"> </w:t>
            </w:r>
          </w:p>
        </w:tc>
        <w:tc>
          <w:tcPr>
            <w:tcW w:w="60" w:type="dxa"/>
            <w:tcBorders/>
            <w:vAlign w:val="center"/>
          </w:tcPr>
          <w:p>
            <w:pPr>
              <w:pStyle w:val="TableContents"/>
              <w:bidi w:val="0"/>
              <w:spacing w:lineRule="atLeast" w:line="500" w:before="0" w:after="0"/>
              <w:jc w:val="left"/>
              <w:rPr/>
            </w:pPr>
            <w:r>
              <w:rPr/>
              <w:t> </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b/>
                <w:color w:val="004876"/>
              </w:rPr>
            </w:pPr>
            <w:r>
              <w:rPr>
                <w:b/>
                <w:color w:val="004876"/>
              </w:rPr>
              <w:t>Vote by Telephone</w:t>
            </w:r>
          </w:p>
        </w:tc>
      </w:tr>
      <w:tr>
        <w:trPr/>
        <w:tc>
          <w:tcPr>
            <w:tcW w:w="802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500" w:before="0" w:after="0"/>
              <w:jc w:val="left"/>
              <w:rPr/>
            </w:pPr>
            <w:r>
              <w:rPr/>
              <w:t> </w:t>
            </w:r>
          </w:p>
        </w:tc>
        <w:tc>
          <w:tcPr>
            <w:tcW w:w="585" w:type="dxa"/>
            <w:tcBorders/>
            <w:vAlign w:val="center"/>
          </w:tcPr>
          <w:p>
            <w:pPr>
              <w:pStyle w:val="TableContents"/>
              <w:bidi w:val="0"/>
              <w:spacing w:lineRule="atLeast" w:line="500" w:before="0" w:after="0"/>
              <w:jc w:val="right"/>
              <w:rPr/>
            </w:pPr>
            <w:r>
              <w:rPr/>
              <w:drawing>
                <wp:inline distT="0" distB="0" distL="0" distR="0">
                  <wp:extent cx="266700" cy="2457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6700" cy="245745"/>
                          </a:xfrm>
                          <a:prstGeom prst="rect">
                            <a:avLst/>
                          </a:prstGeom>
                        </pic:spPr>
                      </pic:pic>
                    </a:graphicData>
                  </a:graphic>
                </wp:inline>
              </w:drawing>
            </w:r>
            <w:r>
              <w:rPr/>
              <w:t xml:space="preserve"> </w:t>
            </w:r>
          </w:p>
        </w:tc>
        <w:tc>
          <w:tcPr>
            <w:tcW w:w="60" w:type="dxa"/>
            <w:tcBorders/>
            <w:vAlign w:val="center"/>
          </w:tcPr>
          <w:p>
            <w:pPr>
              <w:pStyle w:val="TableContents"/>
              <w:bidi w:val="0"/>
              <w:spacing w:lineRule="atLeast" w:line="500" w:before="0" w:after="0"/>
              <w:jc w:val="left"/>
              <w:rPr/>
            </w:pPr>
            <w:r>
              <w:rPr/>
              <w:t> </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b/>
                <w:color w:val="004876"/>
              </w:rPr>
            </w:pPr>
            <w:r>
              <w:rPr>
                <w:b/>
                <w:color w:val="004876"/>
              </w:rPr>
              <w:t>Vote by Internet</w:t>
            </w:r>
          </w:p>
        </w:tc>
      </w:tr>
      <w:tr>
        <w:trPr/>
        <w:tc>
          <w:tcPr>
            <w:tcW w:w="802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400" w:before="0" w:after="0"/>
              <w:jc w:val="left"/>
              <w:rPr/>
            </w:pPr>
            <w:r>
              <w:rPr/>
              <w:t> </w:t>
            </w:r>
          </w:p>
        </w:tc>
        <w:tc>
          <w:tcPr>
            <w:tcW w:w="585" w:type="dxa"/>
            <w:tcBorders/>
            <w:vAlign w:val="center"/>
          </w:tcPr>
          <w:p>
            <w:pPr>
              <w:pStyle w:val="TableContents"/>
              <w:bidi w:val="0"/>
              <w:spacing w:lineRule="atLeast" w:line="400" w:before="0" w:after="0"/>
              <w:jc w:val="right"/>
              <w:rPr/>
            </w:pPr>
            <w:r>
              <w:rPr/>
              <w:drawing>
                <wp:inline distT="0" distB="0" distL="0" distR="0">
                  <wp:extent cx="365760" cy="1822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 cy="182245"/>
                          </a:xfrm>
                          <a:prstGeom prst="rect">
                            <a:avLst/>
                          </a:prstGeom>
                        </pic:spPr>
                      </pic:pic>
                    </a:graphicData>
                  </a:graphic>
                </wp:inline>
              </w:drawing>
            </w:r>
            <w:r>
              <w:rPr/>
              <w:t xml:space="preserve"> </w:t>
            </w:r>
          </w:p>
        </w:tc>
        <w:tc>
          <w:tcPr>
            <w:tcW w:w="60" w:type="dxa"/>
            <w:tcBorders/>
            <w:vAlign w:val="center"/>
          </w:tcPr>
          <w:p>
            <w:pPr>
              <w:pStyle w:val="TableContents"/>
              <w:bidi w:val="0"/>
              <w:spacing w:lineRule="atLeast" w:line="400" w:before="0" w:after="0"/>
              <w:jc w:val="left"/>
              <w:rPr/>
            </w:pPr>
            <w:r>
              <w:rPr/>
              <w:t> </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b/>
                <w:color w:val="004876"/>
              </w:rPr>
            </w:pPr>
            <w:r>
              <w:rPr>
                <w:b/>
                <w:color w:val="004876"/>
              </w:rPr>
              <w:t>Vote by Mail</w:t>
            </w:r>
          </w:p>
        </w:tc>
      </w:tr>
    </w:tbl>
    <w:p>
      <w:pPr>
        <w:pStyle w:val="TextBody"/>
        <w:bidi w:val="0"/>
        <w:spacing w:before="120" w:after="0"/>
        <w:jc w:val="left"/>
        <w:rPr>
          <w:rFonts w:ascii="arial" w:hAnsi="arial"/>
          <w:sz w:val="20"/>
        </w:rPr>
      </w:pPr>
      <w:r>
        <w:rPr>
          <w:rFonts w:ascii="arial" w:hAnsi="arial"/>
          <w:sz w:val="20"/>
        </w:rPr>
        <w:t xml:space="preserve">March 12, 2026 </w:t>
      </w:r>
    </w:p>
    <w:p>
      <w:pPr>
        <w:pStyle w:val="TextBody"/>
        <w:bidi w:val="0"/>
        <w:spacing w:before="0" w:after="0"/>
        <w:jc w:val="left"/>
        <w:rPr/>
      </w:pPr>
      <w:r>
        <w:rPr/>
        <w:t>    </w:t>
      </w:r>
      <w:r>
        <w:rPr>
          <w:rFonts w:ascii="arial" w:hAnsi="arial"/>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xml:space="preserve">     </w:t>
      </w:r>
      <w:r>
        <w:rPr/>
        <w:drawing>
          <wp:inline distT="0" distB="0" distL="0" distR="0">
            <wp:extent cx="1430020" cy="3956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30020" cy="395605"/>
                    </a:xfrm>
                    <a:prstGeom prst="rect">
                      <a:avLst/>
                    </a:prstGeom>
                  </pic:spPr>
                </pic:pic>
              </a:graphicData>
            </a:graphic>
          </wp:inline>
        </w:drawing>
      </w:r>
      <w:r>
        <w:rPr/>
        <w:t xml:space="preserve"> </w:t>
      </w:r>
    </w:p>
    <w:p>
      <w:pPr>
        <w:pStyle w:val="TextBody"/>
        <w:bidi w:val="0"/>
        <w:spacing w:before="200" w:after="0"/>
        <w:jc w:val="left"/>
        <w:rPr/>
      </w:pPr>
      <w:r>
        <w:rPr/>
        <w:t>    </w:t>
      </w:r>
      <w:r>
        <w:rPr>
          <w:rFonts w:ascii="arial" w:hAnsi="arial"/>
          <w:b/>
          <w:sz w:val="20"/>
        </w:rPr>
        <w:t>BRADLEY K. BLACKWELL</w:t>
      </w:r>
      <w:r>
        <w:rPr>
          <w:rFonts w:ascii="arial" w:hAnsi="arial"/>
          <w:sz w:val="20"/>
        </w:rPr>
        <w:t xml:space="preserve"> </w:t>
      </w:r>
    </w:p>
    <w:p>
      <w:pPr>
        <w:pStyle w:val="TextBody"/>
        <w:bidi w:val="0"/>
        <w:spacing w:before="0" w:after="0"/>
        <w:jc w:val="left"/>
        <w:rPr/>
      </w:pPr>
      <w:r>
        <w:rPr/>
        <w:t>    </w:t>
      </w:r>
      <w:r>
        <w:rPr>
          <w:rFonts w:ascii="arial" w:hAnsi="arial"/>
          <w:i/>
          <w:sz w:val="20"/>
        </w:rPr>
        <w:t>Executive Vice President and</w:t>
      </w:r>
      <w:r>
        <w:rPr>
          <w:rFonts w:ascii="arial" w:hAnsi="arial"/>
          <w:sz w:val="20"/>
        </w:rPr>
        <w:t xml:space="preserve"> </w:t>
      </w:r>
    </w:p>
    <w:p>
      <w:pPr>
        <w:pStyle w:val="TextBody"/>
        <w:bidi w:val="0"/>
        <w:spacing w:before="0" w:after="0"/>
        <w:jc w:val="left"/>
        <w:rPr/>
      </w:pPr>
      <w:r>
        <w:rPr/>
        <w:t>    </w:t>
      </w:r>
      <w:r>
        <w:rPr>
          <w:rFonts w:ascii="arial" w:hAnsi="arial"/>
          <w:i/>
          <w:sz w:val="20"/>
        </w:rPr>
        <w:t>General Counsel,</w:t>
      </w:r>
      <w:r>
        <w:rPr>
          <w:rFonts w:ascii="arial" w:hAnsi="arial"/>
          <w:sz w:val="20"/>
        </w:rPr>
        <w:t xml:space="preserve"> </w:t>
      </w:r>
    </w:p>
    <w:p>
      <w:pPr>
        <w:pStyle w:val="TextBody"/>
        <w:bidi w:val="0"/>
        <w:spacing w:before="0" w:after="0"/>
        <w:jc w:val="left"/>
        <w:rPr/>
      </w:pPr>
      <w:r>
        <w:rPr/>
        <w:t>    </w:t>
      </w:r>
      <w:r>
        <w:rPr>
          <w:rFonts w:ascii="arial" w:hAnsi="arial"/>
          <w:i/>
          <w:sz w:val="20"/>
        </w:rPr>
        <w:t>Secretary</w:t>
      </w:r>
      <w:r>
        <w:rPr>
          <w:rFonts w:ascii="arial" w:hAnsi="arial"/>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8" w:space="1" w:color="004876"/>
        </w:rPr>
      </w:pPr>
      <w:r>
        <w:rPr>
          <w:bdr w:val="single" w:sz="8" w:space="1" w:color="004876"/>
        </w:rPr>
        <w:t> </w:t>
      </w:r>
    </w:p>
    <w:p>
      <w:pPr>
        <w:pStyle w:val="TextBody"/>
        <w:bidi w:val="0"/>
        <w:spacing w:before="120" w:after="0"/>
        <w:jc w:val="center"/>
        <w:rPr>
          <w:rFonts w:ascii="arial" w:hAnsi="arial"/>
          <w:b/>
          <w:color w:val="B99C16"/>
          <w:sz w:val="20"/>
        </w:rPr>
      </w:pPr>
      <w:r>
        <w:rPr>
          <w:rFonts w:ascii="arial" w:hAnsi="arial"/>
          <w:b/>
          <w:color w:val="B99C16"/>
          <w:sz w:val="20"/>
        </w:rPr>
        <w:t xml:space="preserve">IMPORTANT NOTICE REGARDING THE AVAILABILITY OF PROXY MATERIALS FOR THE </w:t>
      </w:r>
    </w:p>
    <w:p>
      <w:pPr>
        <w:pStyle w:val="TextBody"/>
        <w:bidi w:val="0"/>
        <w:spacing w:before="0" w:after="0"/>
        <w:jc w:val="center"/>
        <w:rPr>
          <w:rFonts w:ascii="arial" w:hAnsi="arial"/>
          <w:b/>
          <w:color w:val="B99C16"/>
          <w:sz w:val="20"/>
        </w:rPr>
      </w:pPr>
      <w:r>
        <w:rPr>
          <w:rFonts w:ascii="arial" w:hAnsi="arial"/>
          <w:b/>
          <w:color w:val="B99C16"/>
          <w:sz w:val="20"/>
        </w:rPr>
        <w:t xml:space="preserve">ANNUAL MEETING OF SHAREHOLDERS TO BE HELD ON APRIL 21, 2026 </w:t>
      </w:r>
    </w:p>
    <w:p>
      <w:pPr>
        <w:pStyle w:val="TextBody"/>
        <w:bidi w:val="0"/>
        <w:spacing w:before="240" w:after="0"/>
        <w:jc w:val="center"/>
        <w:rPr>
          <w:rFonts w:ascii="arial" w:hAnsi="arial"/>
          <w:sz w:val="20"/>
        </w:rPr>
      </w:pPr>
      <w:r>
        <w:rPr>
          <w:rFonts w:ascii="arial" w:hAnsi="arial"/>
          <w:sz w:val="20"/>
        </w:rPr>
        <w:t xml:space="preserve">The Company’s Proxy Statement for the 2026 Annual Meeting of Shareholders and the Annual Report to </w:t>
      </w:r>
    </w:p>
    <w:p>
      <w:pPr>
        <w:pStyle w:val="TextBody"/>
        <w:bidi w:val="0"/>
        <w:spacing w:before="0" w:after="0"/>
        <w:jc w:val="center"/>
        <w:rPr>
          <w:rFonts w:ascii="arial" w:hAnsi="arial"/>
          <w:sz w:val="20"/>
        </w:rPr>
      </w:pPr>
      <w:r>
        <w:rPr>
          <w:rFonts w:ascii="arial" w:hAnsi="arial"/>
          <w:sz w:val="20"/>
        </w:rPr>
        <w:t xml:space="preserve">Shareholders for the fiscal year ended December 31, 2025 are available at </w:t>
      </w:r>
    </w:p>
    <w:p>
      <w:pPr>
        <w:pStyle w:val="TextBody"/>
        <w:bidi w:val="0"/>
        <w:spacing w:before="0" w:after="0"/>
        <w:jc w:val="center"/>
        <w:rPr>
          <w:rFonts w:ascii="arial" w:hAnsi="arial"/>
          <w:sz w:val="20"/>
        </w:rPr>
      </w:pPr>
      <w:r>
        <w:rPr>
          <w:rFonts w:ascii="arial" w:hAnsi="arial"/>
          <w:color w:val="B99C16"/>
          <w:sz w:val="20"/>
          <w:u w:val="single"/>
        </w:rPr>
        <w:t>http://www.churchilldownsincorporated.com/proxy</w:t>
      </w:r>
      <w:r>
        <w:rPr>
          <w:rFonts w:ascii="arial" w:hAnsi="arial"/>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8" w:space="1" w:color="004876"/>
        </w:rPr>
      </w:pPr>
      <w:r>
        <w:rPr>
          <w:bdr w:val="single" w:sz="8" w:space="1" w:color="004876"/>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406" w:type="dxa"/>
        <w:jc w:val="left"/>
        <w:tblInd w:w="0" w:type="dxa"/>
        <w:tblLayout w:type="fixed"/>
        <w:tblCellMar>
          <w:top w:w="0" w:type="dxa"/>
          <w:left w:w="0" w:type="dxa"/>
          <w:bottom w:w="0" w:type="dxa"/>
          <w:right w:w="0" w:type="dxa"/>
        </w:tblCellMar>
      </w:tblPr>
      <w:tblGrid>
        <w:gridCol w:w="75"/>
        <w:gridCol w:w="23"/>
        <w:gridCol w:w="23"/>
        <w:gridCol w:w="60"/>
        <w:gridCol w:w="5225"/>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25"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arial" w:hAnsi="arial"/>
                <w:b/>
                <w:color w:val="004876"/>
                <w:sz w:val="48"/>
              </w:rPr>
            </w:pPr>
            <w:bookmarkStart w:id="2" w:name="toc"/>
            <w:bookmarkEnd w:id="2"/>
            <w:r>
              <w:rPr>
                <w:rFonts w:ascii="arial" w:hAnsi="arial"/>
                <w:b/>
                <w:color w:val="004876"/>
                <w:sz w:val="48"/>
              </w:rPr>
              <w:t>TABLE OF CONTENTS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3110230" cy="9972040"/>
                <wp:effectExtent l="0" t="0" r="0" b="0"/>
                <wp:wrapSquare wrapText="right"/>
                <wp:docPr id="10"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rFonts w:ascii="arial" w:hAnsi="arial"/>
                                      <w:b/>
                                      <w:color w:val="004876"/>
                                      <w:sz w:val="20"/>
                                    </w:rPr>
                                  </w:pPr>
                                  <w:r>
                                    <w:rPr>
                                      <w:rFonts w:ascii="arial" w:hAnsi="arial"/>
                                      <w:b/>
                                      <w:color w:val="004876"/>
                                      <w:sz w:val="20"/>
                                    </w:rPr>
                                    <w:t>Notice of Annual Meeting of Shareholders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
                                    <w:r>
                                      <w:rPr>
                                        <w:rStyle w:val="InternetLink"/>
                                        <w:rFonts w:ascii="arial" w:hAnsi="arial"/>
                                        <w:b/>
                                        <w:color w:val="004876"/>
                                        <w:sz w:val="20"/>
                                      </w:rPr>
                                      <w:t>Proxy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1</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
                                    <w:r>
                                      <w:rPr>
                                        <w:rStyle w:val="InternetLink"/>
                                        <w:rFonts w:ascii="arial" w:hAnsi="arial"/>
                                        <w:sz w:val="16"/>
                                      </w:rPr>
                                      <w:t xml:space="preserve">Annual Meeting of Shareholders to be held on April 21, 2026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
                                    <w:r>
                                      <w:rPr>
                                        <w:rStyle w:val="InternetLink"/>
                                        <w:rFonts w:ascii="arial" w:hAnsi="arial"/>
                                        <w:sz w:val="16"/>
                                      </w:rPr>
                                      <w:t>Voting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4">
                                    <w:r>
                                      <w:rPr>
                                        <w:rStyle w:val="InternetLink"/>
                                        <w:rFonts w:ascii="arial" w:hAnsi="arial"/>
                                        <w:sz w:val="16"/>
                                      </w:rPr>
                                      <w:t>Voting Instructions and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5">
                                    <w:r>
                                      <w:rPr>
                                        <w:rStyle w:val="InternetLink"/>
                                        <w:rFonts w:ascii="arial" w:hAnsi="arial"/>
                                        <w:sz w:val="16"/>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6">
                                    <w:r>
                                      <w:rPr>
                                        <w:rStyle w:val="InternetLink"/>
                                        <w:rFonts w:ascii="arial" w:hAnsi="arial"/>
                                        <w:sz w:val="16"/>
                                      </w:rPr>
                                      <w:t>Information about our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7">
                                    <w:r>
                                      <w:rPr>
                                        <w:rStyle w:val="InternetLink"/>
                                        <w:rFonts w:ascii="arial" w:hAnsi="arial"/>
                                        <w:b/>
                                        <w:color w:val="004876"/>
                                        <w:sz w:val="20"/>
                                      </w:rPr>
                                      <w:t>Election of Directors (Proposal No. 1)</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8</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8">
                                    <w:r>
                                      <w:rPr>
                                        <w:rStyle w:val="InternetLink"/>
                                        <w:rFonts w:ascii="arial" w:hAnsi="arial"/>
                                        <w:sz w:val="16"/>
                                      </w:rPr>
                                      <w:t>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9">
                                    <w:r>
                                      <w:rPr>
                                        <w:rStyle w:val="InternetLink"/>
                                        <w:rFonts w:ascii="arial" w:hAnsi="arial"/>
                                        <w:sz w:val="16"/>
                                      </w:rPr>
                                      <w:t>Continuing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0">
                                    <w:r>
                                      <w:rPr>
                                        <w:rStyle w:val="InternetLink"/>
                                        <w:rFonts w:ascii="arial" w:hAnsi="arial"/>
                                        <w:sz w:val="16"/>
                                      </w:rPr>
                                      <w:t>Director Skills and Experience Matrix</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1">
                                    <w:r>
                                      <w:rPr>
                                        <w:rStyle w:val="InternetLink"/>
                                        <w:rFonts w:ascii="arial" w:hAnsi="arial"/>
                                        <w:sz w:val="16"/>
                                      </w:rPr>
                                      <w:t>Retirement Age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2">
                                    <w:r>
                                      <w:rPr>
                                        <w:rStyle w:val="InternetLink"/>
                                        <w:rFonts w:ascii="arial" w:hAnsi="arial"/>
                                        <w:sz w:val="16"/>
                                      </w:rPr>
                                      <w:t>Director Compensation for Fiscal Year Ended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3">
                                    <w:r>
                                      <w:rPr>
                                        <w:rStyle w:val="InternetLink"/>
                                        <w:rFonts w:ascii="arial" w:hAnsi="arial"/>
                                        <w:sz w:val="16"/>
                                      </w:rPr>
                                      <w:t>Director 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4">
                                    <w:r>
                                      <w:rPr>
                                        <w:rStyle w:val="InternetLink"/>
                                        <w:rFonts w:ascii="arial" w:hAnsi="arial"/>
                                        <w:b/>
                                        <w:color w:val="004876"/>
                                        <w:sz w:val="20"/>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15</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5">
                                    <w:r>
                                      <w:rPr>
                                        <w:rStyle w:val="InternetLink"/>
                                        <w:rFonts w:ascii="arial" w:hAnsi="arial"/>
                                        <w:sz w:val="16"/>
                                      </w:rPr>
                                      <w:t>Shareholder Communications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6">
                                    <w:r>
                                      <w:rPr>
                                        <w:rStyle w:val="InternetLink"/>
                                        <w:rFonts w:ascii="arial" w:hAnsi="arial"/>
                                        <w:sz w:val="16"/>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7">
                                    <w:r>
                                      <w:rPr>
                                        <w:rStyle w:val="InternetLink"/>
                                        <w:rFonts w:ascii="arial" w:hAnsi="arial"/>
                                        <w:sz w:val="16"/>
                                      </w:rPr>
                                      <w:t>Oversight of Company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8">
                                    <w:r>
                                      <w:rPr>
                                        <w:rStyle w:val="InternetLink"/>
                                        <w:rFonts w:ascii="arial" w:hAnsi="arial"/>
                                        <w:sz w:val="16"/>
                                      </w:rPr>
                                      <w:t>Board Evaluations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9">
                                    <w:r>
                                      <w:rPr>
                                        <w:rStyle w:val="InternetLink"/>
                                        <w:rFonts w:ascii="arial" w:hAnsi="arial"/>
                                        <w:sz w:val="16"/>
                                      </w:rPr>
                                      <w:t>Board Meetings and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0">
                                    <w:r>
                                      <w:rPr>
                                        <w:rStyle w:val="InternetLink"/>
                                        <w:rFonts w:ascii="arial" w:hAnsi="arial"/>
                                        <w:sz w:val="16"/>
                                      </w:rPr>
                                      <w:t>Executive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1">
                                    <w:r>
                                      <w:rPr>
                                        <w:rStyle w:val="InternetLink"/>
                                        <w:rFonts w:ascii="arial" w:hAnsi="arial"/>
                                        <w:sz w:val="16"/>
                                      </w:rPr>
                                      <w:t>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2">
                                    <w:r>
                                      <w:rPr>
                                        <w:rStyle w:val="InternetLink"/>
                                        <w:rFonts w:ascii="arial" w:hAnsi="arial"/>
                                        <w:sz w:val="16"/>
                                      </w:rPr>
                                      <w:t>Compensation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3">
                                    <w:r>
                                      <w:rPr>
                                        <w:rStyle w:val="InternetLink"/>
                                        <w:rFonts w:ascii="arial" w:hAnsi="arial"/>
                                        <w:sz w:val="16"/>
                                      </w:rPr>
                                      <w:t>Responsibilities of the Compensation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4">
                                    <w:r>
                                      <w:rPr>
                                        <w:rStyle w:val="InternetLink"/>
                                        <w:rFonts w:ascii="arial" w:hAnsi="arial"/>
                                        <w:sz w:val="16"/>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5">
                                    <w:r>
                                      <w:rPr>
                                        <w:rStyle w:val="InternetLink"/>
                                        <w:rFonts w:ascii="arial" w:hAnsi="arial"/>
                                        <w:sz w:val="16"/>
                                      </w:rPr>
                                      <w:t>Compensation Risk Assessment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6">
                                    <w:r>
                                      <w:rPr>
                                        <w:rStyle w:val="InternetLink"/>
                                        <w:rFonts w:ascii="arial" w:hAnsi="arial"/>
                                        <w:sz w:val="16"/>
                                      </w:rPr>
                                      <w:t>Nominating and Governance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23994_27">
                                    <w:r>
                                      <w:rPr>
                                        <w:rStyle w:val="InternetLink"/>
                                        <w:b/>
                                        <w:color w:val="004876"/>
                                      </w:rPr>
                                      <w:t>Proposal to Ratify the Appointment of PricewaterhouseCoopers LLP as the Company’s Independent Registered Public Accounting Firm for 2026 (Proposal No. 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21</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8">
                                    <w:r>
                                      <w:rPr>
                                        <w:rStyle w:val="InternetLink"/>
                                        <w:rFonts w:ascii="arial" w:hAnsi="arial"/>
                                        <w:b/>
                                        <w:color w:val="004876"/>
                                        <w:sz w:val="20"/>
                                      </w:rPr>
                                      <w:t>Independent Public Accountants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22</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9">
                                    <w:r>
                                      <w:rPr>
                                        <w:rStyle w:val="InternetLink"/>
                                        <w:rFonts w:ascii="arial" w:hAnsi="arial"/>
                                        <w:sz w:val="16"/>
                                      </w:rPr>
                                      <w:t>Audit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0">
                                    <w:r>
                                      <w:rPr>
                                        <w:rStyle w:val="InternetLink"/>
                                        <w:rFonts w:ascii="arial" w:hAnsi="arial"/>
                                        <w:sz w:val="16"/>
                                      </w:rPr>
                                      <w:t>Audit-Related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1">
                                    <w:r>
                                      <w:rPr>
                                        <w:rStyle w:val="InternetLink"/>
                                        <w:rFonts w:ascii="arial" w:hAnsi="arial"/>
                                        <w:sz w:val="16"/>
                                      </w:rPr>
                                      <w:t>Tax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2">
                                    <w:r>
                                      <w:rPr>
                                        <w:rStyle w:val="InternetLink"/>
                                        <w:rFonts w:ascii="arial" w:hAnsi="arial"/>
                                        <w:sz w:val="16"/>
                                      </w:rPr>
                                      <w:t>All Other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23994_33">
                                    <w:r>
                                      <w:rPr>
                                        <w:rStyle w:val="InternetLink"/>
                                        <w:b/>
                                        <w:color w:val="004876"/>
                                      </w:rPr>
                                      <w:t>Churchill Downs Incorporated 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23</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23994_34">
                                    <w:r>
                                      <w:rPr>
                                        <w:rStyle w:val="InternetLink"/>
                                        <w:b/>
                                        <w:color w:val="004876"/>
                                      </w:rPr>
                                      <w:t>Advisory Vote to Approve Executive Compensation (Proposal No. 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25</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23994_35">
                                    <w:r>
                                      <w:rPr>
                                        <w:rStyle w:val="InternetLink"/>
                                        <w:b/>
                                        <w:color w:val="004876"/>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26</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6">
                                    <w:r>
                                      <w:rPr>
                                        <w:rStyle w:val="InternetLink"/>
                                        <w:rFonts w:ascii="arial" w:hAnsi="arial"/>
                                        <w:sz w:val="16"/>
                                      </w:rPr>
                                      <w:t>Executive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7">
                                    <w:r>
                                      <w:rPr>
                                        <w:rStyle w:val="InternetLink"/>
                                        <w:rFonts w:ascii="arial" w:hAnsi="arial"/>
                                        <w:sz w:val="16"/>
                                      </w:rPr>
                                      <w:t>2025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8">
                                    <w:r>
                                      <w:rPr>
                                        <w:rStyle w:val="InternetLink"/>
                                        <w:rFonts w:ascii="arial" w:hAnsi="arial"/>
                                        <w:sz w:val="16"/>
                                      </w:rPr>
                                      <w:t>Key 2025 Compensation 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9">
                                    <w:r>
                                      <w:rPr>
                                        <w:rStyle w:val="InternetLink"/>
                                        <w:rFonts w:ascii="arial" w:hAnsi="arial"/>
                                        <w:sz w:val="16"/>
                                      </w:rPr>
                                      <w:t>Executive Compensation Philosophy and Core Principles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rFonts w:ascii="arial" w:hAnsi="arial"/>
                                <w:b/>
                                <w:color w:val="004876"/>
                                <w:sz w:val="20"/>
                              </w:rPr>
                            </w:pPr>
                            <w:r>
                              <w:rPr>
                                <w:rFonts w:ascii="arial" w:hAnsi="arial"/>
                                <w:b/>
                                <w:color w:val="004876"/>
                                <w:sz w:val="20"/>
                              </w:rPr>
                              <w:t>Notice of Annual Meeting of Shareholders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
                              <w:r>
                                <w:rPr>
                                  <w:rStyle w:val="InternetLink"/>
                                  <w:rFonts w:ascii="arial" w:hAnsi="arial"/>
                                  <w:b/>
                                  <w:color w:val="004876"/>
                                  <w:sz w:val="20"/>
                                </w:rPr>
                                <w:t>Proxy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1</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
                              <w:r>
                                <w:rPr>
                                  <w:rStyle w:val="InternetLink"/>
                                  <w:rFonts w:ascii="arial" w:hAnsi="arial"/>
                                  <w:sz w:val="16"/>
                                </w:rPr>
                                <w:t xml:space="preserve">Annual Meeting of Shareholders to be held on April 21, 2026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
                              <w:r>
                                <w:rPr>
                                  <w:rStyle w:val="InternetLink"/>
                                  <w:rFonts w:ascii="arial" w:hAnsi="arial"/>
                                  <w:sz w:val="16"/>
                                </w:rPr>
                                <w:t>Voting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4">
                              <w:r>
                                <w:rPr>
                                  <w:rStyle w:val="InternetLink"/>
                                  <w:rFonts w:ascii="arial" w:hAnsi="arial"/>
                                  <w:sz w:val="16"/>
                                </w:rPr>
                                <w:t>Voting Instructions and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5">
                              <w:r>
                                <w:rPr>
                                  <w:rStyle w:val="InternetLink"/>
                                  <w:rFonts w:ascii="arial" w:hAnsi="arial"/>
                                  <w:sz w:val="16"/>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6">
                              <w:r>
                                <w:rPr>
                                  <w:rStyle w:val="InternetLink"/>
                                  <w:rFonts w:ascii="arial" w:hAnsi="arial"/>
                                  <w:sz w:val="16"/>
                                </w:rPr>
                                <w:t>Information about our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7">
                              <w:r>
                                <w:rPr>
                                  <w:rStyle w:val="InternetLink"/>
                                  <w:rFonts w:ascii="arial" w:hAnsi="arial"/>
                                  <w:b/>
                                  <w:color w:val="004876"/>
                                  <w:sz w:val="20"/>
                                </w:rPr>
                                <w:t>Election of Directors (Proposal No. 1)</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8</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8">
                              <w:r>
                                <w:rPr>
                                  <w:rStyle w:val="InternetLink"/>
                                  <w:rFonts w:ascii="arial" w:hAnsi="arial"/>
                                  <w:sz w:val="16"/>
                                </w:rPr>
                                <w:t>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9">
                              <w:r>
                                <w:rPr>
                                  <w:rStyle w:val="InternetLink"/>
                                  <w:rFonts w:ascii="arial" w:hAnsi="arial"/>
                                  <w:sz w:val="16"/>
                                </w:rPr>
                                <w:t>Continuing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0">
                              <w:r>
                                <w:rPr>
                                  <w:rStyle w:val="InternetLink"/>
                                  <w:rFonts w:ascii="arial" w:hAnsi="arial"/>
                                  <w:sz w:val="16"/>
                                </w:rPr>
                                <w:t>Director Skills and Experience Matrix</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1">
                              <w:r>
                                <w:rPr>
                                  <w:rStyle w:val="InternetLink"/>
                                  <w:rFonts w:ascii="arial" w:hAnsi="arial"/>
                                  <w:sz w:val="16"/>
                                </w:rPr>
                                <w:t>Retirement Age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2">
                              <w:r>
                                <w:rPr>
                                  <w:rStyle w:val="InternetLink"/>
                                  <w:rFonts w:ascii="arial" w:hAnsi="arial"/>
                                  <w:sz w:val="16"/>
                                </w:rPr>
                                <w:t>Director Compensation for Fiscal Year Ended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3">
                              <w:r>
                                <w:rPr>
                                  <w:rStyle w:val="InternetLink"/>
                                  <w:rFonts w:ascii="arial" w:hAnsi="arial"/>
                                  <w:sz w:val="16"/>
                                </w:rPr>
                                <w:t>Director 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4">
                              <w:r>
                                <w:rPr>
                                  <w:rStyle w:val="InternetLink"/>
                                  <w:rFonts w:ascii="arial" w:hAnsi="arial"/>
                                  <w:b/>
                                  <w:color w:val="004876"/>
                                  <w:sz w:val="20"/>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15</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5">
                              <w:r>
                                <w:rPr>
                                  <w:rStyle w:val="InternetLink"/>
                                  <w:rFonts w:ascii="arial" w:hAnsi="arial"/>
                                  <w:sz w:val="16"/>
                                </w:rPr>
                                <w:t>Shareholder Communications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6">
                              <w:r>
                                <w:rPr>
                                  <w:rStyle w:val="InternetLink"/>
                                  <w:rFonts w:ascii="arial" w:hAnsi="arial"/>
                                  <w:sz w:val="16"/>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7">
                              <w:r>
                                <w:rPr>
                                  <w:rStyle w:val="InternetLink"/>
                                  <w:rFonts w:ascii="arial" w:hAnsi="arial"/>
                                  <w:sz w:val="16"/>
                                </w:rPr>
                                <w:t>Oversight of Company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8">
                              <w:r>
                                <w:rPr>
                                  <w:rStyle w:val="InternetLink"/>
                                  <w:rFonts w:ascii="arial" w:hAnsi="arial"/>
                                  <w:sz w:val="16"/>
                                </w:rPr>
                                <w:t>Board Evaluations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19">
                              <w:r>
                                <w:rPr>
                                  <w:rStyle w:val="InternetLink"/>
                                  <w:rFonts w:ascii="arial" w:hAnsi="arial"/>
                                  <w:sz w:val="16"/>
                                </w:rPr>
                                <w:t>Board Meetings and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0">
                              <w:r>
                                <w:rPr>
                                  <w:rStyle w:val="InternetLink"/>
                                  <w:rFonts w:ascii="arial" w:hAnsi="arial"/>
                                  <w:sz w:val="16"/>
                                </w:rPr>
                                <w:t>Executive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1">
                              <w:r>
                                <w:rPr>
                                  <w:rStyle w:val="InternetLink"/>
                                  <w:rFonts w:ascii="arial" w:hAnsi="arial"/>
                                  <w:sz w:val="16"/>
                                </w:rPr>
                                <w:t>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2">
                              <w:r>
                                <w:rPr>
                                  <w:rStyle w:val="InternetLink"/>
                                  <w:rFonts w:ascii="arial" w:hAnsi="arial"/>
                                  <w:sz w:val="16"/>
                                </w:rPr>
                                <w:t>Compensation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3">
                              <w:r>
                                <w:rPr>
                                  <w:rStyle w:val="InternetLink"/>
                                  <w:rFonts w:ascii="arial" w:hAnsi="arial"/>
                                  <w:sz w:val="16"/>
                                </w:rPr>
                                <w:t>Responsibilities of the Compensation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4">
                              <w:r>
                                <w:rPr>
                                  <w:rStyle w:val="InternetLink"/>
                                  <w:rFonts w:ascii="arial" w:hAnsi="arial"/>
                                  <w:sz w:val="16"/>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5">
                              <w:r>
                                <w:rPr>
                                  <w:rStyle w:val="InternetLink"/>
                                  <w:rFonts w:ascii="arial" w:hAnsi="arial"/>
                                  <w:sz w:val="16"/>
                                </w:rPr>
                                <w:t>Compensation Risk Assessment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6">
                              <w:r>
                                <w:rPr>
                                  <w:rStyle w:val="InternetLink"/>
                                  <w:rFonts w:ascii="arial" w:hAnsi="arial"/>
                                  <w:sz w:val="16"/>
                                </w:rPr>
                                <w:t>Nominating and Governance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23994_27">
                              <w:r>
                                <w:rPr>
                                  <w:rStyle w:val="InternetLink"/>
                                  <w:b/>
                                  <w:color w:val="004876"/>
                                </w:rPr>
                                <w:t>Proposal to Ratify the Appointment of PricewaterhouseCoopers LLP as the Company’s Independent Registered Public Accounting Firm for 2026 (Proposal No. 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21</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8">
                              <w:r>
                                <w:rPr>
                                  <w:rStyle w:val="InternetLink"/>
                                  <w:rFonts w:ascii="arial" w:hAnsi="arial"/>
                                  <w:b/>
                                  <w:color w:val="004876"/>
                                  <w:sz w:val="20"/>
                                </w:rPr>
                                <w:t>Independent Public Accountants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22</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29">
                              <w:r>
                                <w:rPr>
                                  <w:rStyle w:val="InternetLink"/>
                                  <w:rFonts w:ascii="arial" w:hAnsi="arial"/>
                                  <w:sz w:val="16"/>
                                </w:rPr>
                                <w:t>Audit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0">
                              <w:r>
                                <w:rPr>
                                  <w:rStyle w:val="InternetLink"/>
                                  <w:rFonts w:ascii="arial" w:hAnsi="arial"/>
                                  <w:sz w:val="16"/>
                                </w:rPr>
                                <w:t>Audit-Related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1">
                              <w:r>
                                <w:rPr>
                                  <w:rStyle w:val="InternetLink"/>
                                  <w:rFonts w:ascii="arial" w:hAnsi="arial"/>
                                  <w:sz w:val="16"/>
                                </w:rPr>
                                <w:t>Tax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2">
                              <w:r>
                                <w:rPr>
                                  <w:rStyle w:val="InternetLink"/>
                                  <w:rFonts w:ascii="arial" w:hAnsi="arial"/>
                                  <w:sz w:val="16"/>
                                </w:rPr>
                                <w:t>All Other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23994_33">
                              <w:r>
                                <w:rPr>
                                  <w:rStyle w:val="InternetLink"/>
                                  <w:b/>
                                  <w:color w:val="004876"/>
                                </w:rPr>
                                <w:t>Churchill Downs Incorporated 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23</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23994_34">
                              <w:r>
                                <w:rPr>
                                  <w:rStyle w:val="InternetLink"/>
                                  <w:b/>
                                  <w:color w:val="004876"/>
                                </w:rPr>
                                <w:t>Advisory Vote to Approve Executive Compensation (Proposal No. 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25</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23994_35">
                              <w:r>
                                <w:rPr>
                                  <w:rStyle w:val="InternetLink"/>
                                  <w:b/>
                                  <w:color w:val="004876"/>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b/>
                                <w:color w:val="004876"/>
                              </w:rPr>
                            </w:pPr>
                            <w:r>
                              <w:rPr>
                                <w:b/>
                                <w:color w:val="004876"/>
                              </w:rPr>
                              <w:t>26</w:t>
                            </w:r>
                          </w:p>
                        </w:tc>
                        <w:tc>
                          <w:tcPr>
                            <w:tcW w:w="75" w:type="dxa"/>
                            <w:tcBorders/>
                            <w:vAlign w:val="center"/>
                          </w:tcPr>
                          <w:p>
                            <w:pPr>
                              <w:pStyle w:val="TableContents"/>
                              <w:bidi w:val="0"/>
                              <w:spacing w:before="0" w:after="283"/>
                              <w:jc w:val="left"/>
                              <w:rPr>
                                <w:color w:val="004876"/>
                              </w:rPr>
                            </w:pPr>
                            <w:r>
                              <w:rPr>
                                <w:color w:val="004876"/>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6">
                              <w:r>
                                <w:rPr>
                                  <w:rStyle w:val="InternetLink"/>
                                  <w:rFonts w:ascii="arial" w:hAnsi="arial"/>
                                  <w:sz w:val="16"/>
                                </w:rPr>
                                <w:t>Executive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7">
                              <w:r>
                                <w:rPr>
                                  <w:rStyle w:val="InternetLink"/>
                                  <w:rFonts w:ascii="arial" w:hAnsi="arial"/>
                                  <w:sz w:val="16"/>
                                </w:rPr>
                                <w:t>2025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8">
                              <w:r>
                                <w:rPr>
                                  <w:rStyle w:val="InternetLink"/>
                                  <w:rFonts w:ascii="arial" w:hAnsi="arial"/>
                                  <w:sz w:val="16"/>
                                </w:rPr>
                                <w:t>Key 2025 Compensation 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23994_39">
                              <w:r>
                                <w:rPr>
                                  <w:rStyle w:val="InternetLink"/>
                                  <w:rFonts w:ascii="arial" w:hAnsi="arial"/>
                                  <w:sz w:val="16"/>
                                </w:rPr>
                                <w:t>Executive Compensation Philosophy and Core Principles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3175000" cy="9972040"/>
                <wp:effectExtent l="0" t="0" r="0" b="0"/>
                <wp:wrapSquare wrapText="right"/>
                <wp:docPr id="11"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9850" w:type="dxa"/>
                              <w:jc w:val="left"/>
                              <w:tblInd w:w="0" w:type="dxa"/>
                              <w:tblLayout w:type="fixed"/>
                              <w:tblCellMar>
                                <w:top w:w="0" w:type="dxa"/>
                                <w:left w:w="0" w:type="dxa"/>
                                <w:bottom w:w="0" w:type="dxa"/>
                                <w:right w:w="0" w:type="dxa"/>
                              </w:tblCellMar>
                            </w:tblPr>
                            <w:tblGrid>
                              <w:gridCol w:w="9200"/>
                              <w:gridCol w:w="120"/>
                              <w:gridCol w:w="60"/>
                              <w:gridCol w:w="395"/>
                              <w:gridCol w:w="75"/>
                            </w:tblGrid>
                            <w:tr>
                              <w:trPr/>
                              <w:tc>
                                <w:tcPr>
                                  <w:tcW w:w="9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0">
                                    <w:r>
                                      <w:rPr>
                                        <w:rStyle w:val="InternetLink"/>
                                        <w:rFonts w:ascii="arial" w:hAnsi="arial"/>
                                        <w:sz w:val="16"/>
                                      </w:rPr>
                                      <w:t>2025 “Say-on-Pay” Advisory Vote on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1">
                                    <w:r>
                                      <w:rPr>
                                        <w:rStyle w:val="InternetLink"/>
                                        <w:rFonts w:ascii="arial" w:hAnsi="arial"/>
                                        <w:sz w:val="16"/>
                                      </w:rPr>
                                      <w:t>Role of Management and Independent Advisors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2">
                                    <w:r>
                                      <w:rPr>
                                        <w:rStyle w:val="InternetLink"/>
                                        <w:rFonts w:ascii="arial" w:hAnsi="arial"/>
                                        <w:sz w:val="16"/>
                                      </w:rPr>
                                      <w:t>Factors Used to Evaluate Pay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3">
                                    <w:r>
                                      <w:rPr>
                                        <w:rStyle w:val="InternetLink"/>
                                        <w:rFonts w:ascii="arial" w:hAnsi="arial"/>
                                        <w:sz w:val="16"/>
                                      </w:rPr>
                                      <w:t>Non-Disclosure of Certain Metrics and Targets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4">
                                    <w:r>
                                      <w:rPr>
                                        <w:rStyle w:val="InternetLink"/>
                                        <w:rFonts w:ascii="arial" w:hAnsi="arial"/>
                                        <w:sz w:val="16"/>
                                      </w:rPr>
                                      <w:t>Components of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5">
                                    <w:r>
                                      <w:rPr>
                                        <w:rStyle w:val="InternetLink"/>
                                        <w:rFonts w:ascii="arial" w:hAnsi="arial"/>
                                        <w:sz w:val="16"/>
                                      </w:rPr>
                                      <w:t>Base Salary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6">
                                    <w:r>
                                      <w:rPr>
                                        <w:rStyle w:val="InternetLink"/>
                                        <w:rFonts w:ascii="arial" w:hAnsi="arial"/>
                                        <w:sz w:val="16"/>
                                      </w:rPr>
                                      <w:t>Executive Annual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7">
                                    <w:r>
                                      <w:rPr>
                                        <w:rStyle w:val="InternetLink"/>
                                        <w:rFonts w:ascii="arial" w:hAnsi="arial"/>
                                        <w:sz w:val="16"/>
                                      </w:rPr>
                                      <w:t>Long-Term Incentives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8">
                                    <w:r>
                                      <w:rPr>
                                        <w:rStyle w:val="InternetLink"/>
                                        <w:rFonts w:ascii="arial" w:hAnsi="arial"/>
                                        <w:sz w:val="16"/>
                                      </w:rPr>
                                      <w:t>Executive 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9">
                                    <w:r>
                                      <w:rPr>
                                        <w:rStyle w:val="InternetLink"/>
                                        <w:rFonts w:ascii="arial" w:hAnsi="arial"/>
                                        <w:sz w:val="16"/>
                                      </w:rPr>
                                      <w:t>Anti-Hedging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50">
                                    <w:r>
                                      <w:rPr>
                                        <w:rStyle w:val="InternetLink"/>
                                        <w:rFonts w:ascii="arial" w:hAnsi="arial"/>
                                        <w:sz w:val="16"/>
                                      </w:rPr>
                                      <w:t>Anti-Pledging and Margin Accounts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51">
                                    <w:r>
                                      <w:rPr>
                                        <w:rStyle w:val="InternetLink"/>
                                        <w:rFonts w:ascii="arial" w:hAnsi="arial"/>
                                        <w:sz w:val="16"/>
                                      </w:rPr>
                                      <w:t>Clawback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52">
                                    <w:r>
                                      <w:rPr>
                                        <w:rStyle w:val="InternetLink"/>
                                        <w:rFonts w:ascii="arial" w:hAnsi="arial"/>
                                        <w:sz w:val="16"/>
                                      </w:rPr>
                                      <w:t>Deferred Compensation and Other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53">
                                    <w:r>
                                      <w:rPr>
                                        <w:rStyle w:val="InternetLink"/>
                                        <w:rFonts w:ascii="arial" w:hAnsi="arial"/>
                                        <w:sz w:val="16"/>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54">
                                    <w:r>
                                      <w:rPr>
                                        <w:rStyle w:val="InternetLink"/>
                                        <w:b/>
                                        <w:color w:val="004876"/>
                                      </w:rPr>
                                      <w:t>2025 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42</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55">
                                    <w:r>
                                      <w:rPr>
                                        <w:rStyle w:val="InternetLink"/>
                                        <w:b/>
                                        <w:color w:val="004876"/>
                                      </w:rPr>
                                      <w:t>All Other Compensation for Fiscal Year Ended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43</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56">
                                    <w:r>
                                      <w:rPr>
                                        <w:rStyle w:val="InternetLink"/>
                                        <w:b/>
                                        <w:color w:val="004876"/>
                                      </w:rPr>
                                      <w:t>Grants of Plan-Based Awards for Fiscal Year Ended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44</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57">
                                    <w:r>
                                      <w:rPr>
                                        <w:rStyle w:val="InternetLink"/>
                                        <w:b/>
                                        <w:color w:val="004876"/>
                                      </w:rPr>
                                      <w:t>Outstanding Equity Awards at Fiscal Year-End for Fiscal Year Ended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45</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58">
                                    <w:r>
                                      <w:rPr>
                                        <w:rStyle w:val="InternetLink"/>
                                        <w:b/>
                                        <w:color w:val="004876"/>
                                      </w:rPr>
                                      <w:t xml:space="preserve">Stock Vested for Fiscal Year Ended </w:t>
                                      <w:br/>
                                      <w:t>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46</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59">
                                    <w:r>
                                      <w:rPr>
                                        <w:rStyle w:val="InternetLink"/>
                                        <w:b/>
                                        <w:color w:val="004876"/>
                                      </w:rPr>
                                      <w:t xml:space="preserve">Nonqualified Deferred Compensation for </w:t>
                                      <w:br/>
                                      <w:t>Fiscal Year Ended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47</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60">
                                    <w:r>
                                      <w:rPr>
                                        <w:rStyle w:val="InternetLink"/>
                                        <w:b/>
                                        <w:color w:val="004876"/>
                                      </w:rPr>
                                      <w:t xml:space="preserve">Potential Payments Upon Termination or </w:t>
                                      <w:br/>
                                      <w:t>Change of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49</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61">
                                    <w:r>
                                      <w:rPr>
                                        <w:rStyle w:val="InternetLink"/>
                                        <w:rFonts w:ascii="arial" w:hAnsi="arial"/>
                                        <w:sz w:val="16"/>
                                      </w:rPr>
                                      <w:t>Non-Solicit Provisions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62">
                                    <w:r>
                                      <w:rPr>
                                        <w:rStyle w:val="InternetLink"/>
                                        <w:rFonts w:ascii="arial" w:hAnsi="arial"/>
                                        <w:sz w:val="16"/>
                                      </w:rPr>
                                      <w:t>Severance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63">
                                    <w:r>
                                      <w:rPr>
                                        <w:rStyle w:val="InternetLink"/>
                                        <w:rFonts w:ascii="arial" w:hAnsi="arial"/>
                                        <w:b/>
                                        <w:color w:val="004876"/>
                                        <w:sz w:val="20"/>
                                      </w:rPr>
                                      <w:t>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51</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64">
                                    <w:r>
                                      <w:rPr>
                                        <w:rStyle w:val="InternetLink"/>
                                        <w:rFonts w:ascii="arial" w:hAnsi="arial"/>
                                        <w:sz w:val="16"/>
                                      </w:rPr>
                                      <w:t>Identification of Median Employee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65">
                                    <w:r>
                                      <w:rPr>
                                        <w:rStyle w:val="InternetLink"/>
                                        <w:rFonts w:ascii="arial" w:hAnsi="arial"/>
                                        <w:sz w:val="16"/>
                                      </w:rPr>
                                      <w:t>Ratio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66">
                                    <w:r>
                                      <w:rPr>
                                        <w:rStyle w:val="InternetLink"/>
                                        <w:b/>
                                        <w:color w:val="004876"/>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52</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67">
                                    <w:r>
                                      <w:rPr>
                                        <w:rStyle w:val="InternetLink"/>
                                        <w:b/>
                                        <w:color w:val="004876"/>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58</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68">
                                    <w:r>
                                      <w:rPr>
                                        <w:rStyle w:val="InternetLink"/>
                                        <w:rFonts w:ascii="arial" w:hAnsi="arial"/>
                                        <w:b/>
                                        <w:color w:val="004876"/>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59</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69">
                                    <w:r>
                                      <w:rPr>
                                        <w:rStyle w:val="InternetLink"/>
                                        <w:b/>
                                        <w:color w:val="004876"/>
                                      </w:rPr>
                                      <w:t>Delinquent Section 16(a) Reports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60</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70">
                                    <w:r>
                                      <w:rPr>
                                        <w:rStyle w:val="InternetLink"/>
                                        <w:rFonts w:ascii="arial" w:hAnsi="arial"/>
                                        <w:b/>
                                        <w:color w:val="004876"/>
                                        <w:sz w:val="20"/>
                                      </w:rPr>
                                      <w:t>Multiple Shareholders Sharing the Same Address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61</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71">
                                    <w:r>
                                      <w:rPr>
                                        <w:rStyle w:val="InternetLink"/>
                                        <w:b/>
                                        <w:color w:val="004876"/>
                                      </w:rPr>
                                      <w:t>Proposals by Shareholders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62</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72">
                                    <w:r>
                                      <w:rPr>
                                        <w:rStyle w:val="InternetLink"/>
                                        <w:rFonts w:ascii="arial" w:hAnsi="arial"/>
                                        <w:b/>
                                        <w:color w:val="004876"/>
                                        <w:sz w:val="20"/>
                                      </w:rPr>
                                      <w:t>Appendix A—Non-GAAP Financial Measure Reconciliations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A-1</w:t>
                                  </w:r>
                                </w:p>
                              </w:tc>
                              <w:tc>
                                <w:tcPr>
                                  <w:tcW w:w="75" w:type="dxa"/>
                                  <w:tcBorders/>
                                  <w:vAlign w:val="center"/>
                                </w:tcPr>
                                <w:p>
                                  <w:pPr>
                                    <w:pStyle w:val="TableContents"/>
                                    <w:bidi w:val="0"/>
                                    <w:spacing w:before="0" w:after="283"/>
                                    <w:jc w:val="left"/>
                                    <w:rPr>
                                      <w:color w:val="004876"/>
                                    </w:rPr>
                                  </w:pPr>
                                  <w:r>
                                    <w:rPr>
                                      <w:color w:val="004876"/>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9850" w:type="dxa"/>
                        <w:jc w:val="left"/>
                        <w:tblInd w:w="0" w:type="dxa"/>
                        <w:tblLayout w:type="fixed"/>
                        <w:tblCellMar>
                          <w:top w:w="0" w:type="dxa"/>
                          <w:left w:w="0" w:type="dxa"/>
                          <w:bottom w:w="0" w:type="dxa"/>
                          <w:right w:w="0" w:type="dxa"/>
                        </w:tblCellMar>
                      </w:tblPr>
                      <w:tblGrid>
                        <w:gridCol w:w="9200"/>
                        <w:gridCol w:w="120"/>
                        <w:gridCol w:w="60"/>
                        <w:gridCol w:w="395"/>
                        <w:gridCol w:w="75"/>
                      </w:tblGrid>
                      <w:tr>
                        <w:trPr/>
                        <w:tc>
                          <w:tcPr>
                            <w:tcW w:w="9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0">
                              <w:r>
                                <w:rPr>
                                  <w:rStyle w:val="InternetLink"/>
                                  <w:rFonts w:ascii="arial" w:hAnsi="arial"/>
                                  <w:sz w:val="16"/>
                                </w:rPr>
                                <w:t>2025 “Say-on-Pay” Advisory Vote on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1">
                              <w:r>
                                <w:rPr>
                                  <w:rStyle w:val="InternetLink"/>
                                  <w:rFonts w:ascii="arial" w:hAnsi="arial"/>
                                  <w:sz w:val="16"/>
                                </w:rPr>
                                <w:t>Role of Management and Independent Advisors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2">
                              <w:r>
                                <w:rPr>
                                  <w:rStyle w:val="InternetLink"/>
                                  <w:rFonts w:ascii="arial" w:hAnsi="arial"/>
                                  <w:sz w:val="16"/>
                                </w:rPr>
                                <w:t>Factors Used to Evaluate Pay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3">
                              <w:r>
                                <w:rPr>
                                  <w:rStyle w:val="InternetLink"/>
                                  <w:rFonts w:ascii="arial" w:hAnsi="arial"/>
                                  <w:sz w:val="16"/>
                                </w:rPr>
                                <w:t>Non-Disclosure of Certain Metrics and Targets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4">
                              <w:r>
                                <w:rPr>
                                  <w:rStyle w:val="InternetLink"/>
                                  <w:rFonts w:ascii="arial" w:hAnsi="arial"/>
                                  <w:sz w:val="16"/>
                                </w:rPr>
                                <w:t>Components of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5">
                              <w:r>
                                <w:rPr>
                                  <w:rStyle w:val="InternetLink"/>
                                  <w:rFonts w:ascii="arial" w:hAnsi="arial"/>
                                  <w:sz w:val="16"/>
                                </w:rPr>
                                <w:t>Base Salary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6">
                              <w:r>
                                <w:rPr>
                                  <w:rStyle w:val="InternetLink"/>
                                  <w:rFonts w:ascii="arial" w:hAnsi="arial"/>
                                  <w:sz w:val="16"/>
                                </w:rPr>
                                <w:t>Executive Annual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7">
                              <w:r>
                                <w:rPr>
                                  <w:rStyle w:val="InternetLink"/>
                                  <w:rFonts w:ascii="arial" w:hAnsi="arial"/>
                                  <w:sz w:val="16"/>
                                </w:rPr>
                                <w:t>Long-Term Incentives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8">
                              <w:r>
                                <w:rPr>
                                  <w:rStyle w:val="InternetLink"/>
                                  <w:rFonts w:ascii="arial" w:hAnsi="arial"/>
                                  <w:sz w:val="16"/>
                                </w:rPr>
                                <w:t>Executive 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49">
                              <w:r>
                                <w:rPr>
                                  <w:rStyle w:val="InternetLink"/>
                                  <w:rFonts w:ascii="arial" w:hAnsi="arial"/>
                                  <w:sz w:val="16"/>
                                </w:rPr>
                                <w:t>Anti-Hedging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50">
                              <w:r>
                                <w:rPr>
                                  <w:rStyle w:val="InternetLink"/>
                                  <w:rFonts w:ascii="arial" w:hAnsi="arial"/>
                                  <w:sz w:val="16"/>
                                </w:rPr>
                                <w:t>Anti-Pledging and Margin Accounts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51">
                              <w:r>
                                <w:rPr>
                                  <w:rStyle w:val="InternetLink"/>
                                  <w:rFonts w:ascii="arial" w:hAnsi="arial"/>
                                  <w:sz w:val="16"/>
                                </w:rPr>
                                <w:t>Clawback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52">
                              <w:r>
                                <w:rPr>
                                  <w:rStyle w:val="InternetLink"/>
                                  <w:rFonts w:ascii="arial" w:hAnsi="arial"/>
                                  <w:sz w:val="16"/>
                                </w:rPr>
                                <w:t>Deferred Compensation and Other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53">
                              <w:r>
                                <w:rPr>
                                  <w:rStyle w:val="InternetLink"/>
                                  <w:rFonts w:ascii="arial" w:hAnsi="arial"/>
                                  <w:sz w:val="16"/>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54">
                              <w:r>
                                <w:rPr>
                                  <w:rStyle w:val="InternetLink"/>
                                  <w:b/>
                                  <w:color w:val="004876"/>
                                </w:rPr>
                                <w:t>2025 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42</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55">
                              <w:r>
                                <w:rPr>
                                  <w:rStyle w:val="InternetLink"/>
                                  <w:b/>
                                  <w:color w:val="004876"/>
                                </w:rPr>
                                <w:t>All Other Compensation for Fiscal Year Ended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43</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56">
                              <w:r>
                                <w:rPr>
                                  <w:rStyle w:val="InternetLink"/>
                                  <w:b/>
                                  <w:color w:val="004876"/>
                                </w:rPr>
                                <w:t>Grants of Plan-Based Awards for Fiscal Year Ended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44</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57">
                              <w:r>
                                <w:rPr>
                                  <w:rStyle w:val="InternetLink"/>
                                  <w:b/>
                                  <w:color w:val="004876"/>
                                </w:rPr>
                                <w:t>Outstanding Equity Awards at Fiscal Year-End for Fiscal Year Ended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45</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58">
                              <w:r>
                                <w:rPr>
                                  <w:rStyle w:val="InternetLink"/>
                                  <w:b/>
                                  <w:color w:val="004876"/>
                                </w:rPr>
                                <w:t xml:space="preserve">Stock Vested for Fiscal Year Ended </w:t>
                                <w:br/>
                                <w:t>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46</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59">
                              <w:r>
                                <w:rPr>
                                  <w:rStyle w:val="InternetLink"/>
                                  <w:b/>
                                  <w:color w:val="004876"/>
                                </w:rPr>
                                <w:t xml:space="preserve">Nonqualified Deferred Compensation for </w:t>
                                <w:br/>
                                <w:t>Fiscal Year Ended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47</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60">
                              <w:r>
                                <w:rPr>
                                  <w:rStyle w:val="InternetLink"/>
                                  <w:b/>
                                  <w:color w:val="004876"/>
                                </w:rPr>
                                <w:t xml:space="preserve">Potential Payments Upon Termination or </w:t>
                                <w:br/>
                                <w:t>Change of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49</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61">
                              <w:r>
                                <w:rPr>
                                  <w:rStyle w:val="InternetLink"/>
                                  <w:rFonts w:ascii="arial" w:hAnsi="arial"/>
                                  <w:sz w:val="16"/>
                                </w:rPr>
                                <w:t>Non-Solicit Provisions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62">
                              <w:r>
                                <w:rPr>
                                  <w:rStyle w:val="InternetLink"/>
                                  <w:rFonts w:ascii="arial" w:hAnsi="arial"/>
                                  <w:sz w:val="16"/>
                                </w:rPr>
                                <w:t>Severance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63">
                              <w:r>
                                <w:rPr>
                                  <w:rStyle w:val="InternetLink"/>
                                  <w:rFonts w:ascii="arial" w:hAnsi="arial"/>
                                  <w:b/>
                                  <w:color w:val="004876"/>
                                  <w:sz w:val="20"/>
                                </w:rPr>
                                <w:t>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51</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64">
                              <w:r>
                                <w:rPr>
                                  <w:rStyle w:val="InternetLink"/>
                                  <w:rFonts w:ascii="arial" w:hAnsi="arial"/>
                                  <w:sz w:val="16"/>
                                </w:rPr>
                                <w:t>Identification of Median Employee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65">
                              <w:r>
                                <w:rPr>
                                  <w:rStyle w:val="InternetLink"/>
                                  <w:rFonts w:ascii="arial" w:hAnsi="arial"/>
                                  <w:sz w:val="16"/>
                                </w:rPr>
                                <w:t>Ratio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66">
                              <w:r>
                                <w:rPr>
                                  <w:rStyle w:val="InternetLink"/>
                                  <w:b/>
                                  <w:color w:val="004876"/>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52</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67">
                              <w:r>
                                <w:rPr>
                                  <w:rStyle w:val="InternetLink"/>
                                  <w:b/>
                                  <w:color w:val="004876"/>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58</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68">
                              <w:r>
                                <w:rPr>
                                  <w:rStyle w:val="InternetLink"/>
                                  <w:rFonts w:ascii="arial" w:hAnsi="arial"/>
                                  <w:b/>
                                  <w:color w:val="004876"/>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59</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69">
                              <w:r>
                                <w:rPr>
                                  <w:rStyle w:val="InternetLink"/>
                                  <w:b/>
                                  <w:color w:val="004876"/>
                                </w:rPr>
                                <w:t>Delinquent Section 16(a) Reports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60</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70">
                              <w:r>
                                <w:rPr>
                                  <w:rStyle w:val="InternetLink"/>
                                  <w:rFonts w:ascii="arial" w:hAnsi="arial"/>
                                  <w:b/>
                                  <w:color w:val="004876"/>
                                  <w:sz w:val="20"/>
                                </w:rPr>
                                <w:t>Multiple Shareholders Sharing the Same Address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61</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283"/>
                              <w:jc w:val="left"/>
                              <w:rPr/>
                            </w:pPr>
                            <w:hyperlink w:anchor="toc123994_71">
                              <w:r>
                                <w:rPr>
                                  <w:rStyle w:val="InternetLink"/>
                                  <w:b/>
                                  <w:color w:val="004876"/>
                                </w:rPr>
                                <w:t>Proposals by Shareholders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62</w:t>
                            </w:r>
                          </w:p>
                        </w:tc>
                        <w:tc>
                          <w:tcPr>
                            <w:tcW w:w="75" w:type="dxa"/>
                            <w:tcBorders/>
                            <w:vAlign w:val="center"/>
                          </w:tcPr>
                          <w:p>
                            <w:pPr>
                              <w:pStyle w:val="TableContents"/>
                              <w:bidi w:val="0"/>
                              <w:spacing w:before="0" w:after="283"/>
                              <w:jc w:val="left"/>
                              <w:rPr>
                                <w:color w:val="004876"/>
                              </w:rPr>
                            </w:pPr>
                            <w:r>
                              <w:rPr>
                                <w:color w:val="004876"/>
                              </w:rPr>
                              <w:t> </w:t>
                            </w:r>
                          </w:p>
                        </w:tc>
                      </w:tr>
                      <w:tr>
                        <w:trPr/>
                        <w:tc>
                          <w:tcPr>
                            <w:tcW w:w="920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200" w:type="dxa"/>
                            <w:tcBorders/>
                            <w:vAlign w:val="center"/>
                          </w:tcPr>
                          <w:p>
                            <w:pPr>
                              <w:pStyle w:val="TableContents"/>
                              <w:bidi w:val="0"/>
                              <w:spacing w:before="0" w:after="0"/>
                              <w:jc w:val="left"/>
                              <w:rPr/>
                            </w:pPr>
                            <w:hyperlink w:anchor="toc123994_72">
                              <w:r>
                                <w:rPr>
                                  <w:rStyle w:val="InternetLink"/>
                                  <w:rFonts w:ascii="arial" w:hAnsi="arial"/>
                                  <w:b/>
                                  <w:color w:val="004876"/>
                                  <w:sz w:val="20"/>
                                </w:rPr>
                                <w:t>Appendix A—Non-GAAP Financial Measure Reconciliations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395" w:type="dxa"/>
                            <w:tcBorders/>
                            <w:vAlign w:val="center"/>
                          </w:tcPr>
                          <w:p>
                            <w:pPr>
                              <w:pStyle w:val="TableContents"/>
                              <w:bidi w:val="0"/>
                              <w:spacing w:before="0" w:after="283"/>
                              <w:jc w:val="right"/>
                              <w:rPr>
                                <w:b/>
                                <w:color w:val="004876"/>
                              </w:rPr>
                            </w:pPr>
                            <w:r>
                              <w:rPr>
                                <w:b/>
                                <w:color w:val="004876"/>
                              </w:rPr>
                              <w:t>A-1</w:t>
                            </w:r>
                          </w:p>
                        </w:tc>
                        <w:tc>
                          <w:tcPr>
                            <w:tcW w:w="75" w:type="dxa"/>
                            <w:tcBorders/>
                            <w:vAlign w:val="center"/>
                          </w:tcPr>
                          <w:p>
                            <w:pPr>
                              <w:pStyle w:val="TableContents"/>
                              <w:bidi w:val="0"/>
                              <w:spacing w:before="0" w:after="283"/>
                              <w:jc w:val="left"/>
                              <w:rPr>
                                <w:color w:val="004876"/>
                              </w:rPr>
                            </w:pPr>
                            <w:r>
                              <w:rPr>
                                <w:color w:val="004876"/>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The letter to shareholders and the accompanying proxy statement contains various “forward-looking statements” within the meaning of the “safe harbor” provisions of the Private Securities Litigation Reform Act of 1995.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 Although we believe that the expectations reflected in such forward-looking statements are reasonable, we can give no assurance that such expectations will prove to be correct. Important factors, that could cause actual results to differ materially from expectations are described under the heading “Risk Factors” in our most recent Annual Report on Form 10-K and in other filings we make with the Securities and Exchange Commission. We do not undertake any obligation to update or revise any forward-looking statements, whether as a result of new information, future events or otherwise, except as required by law.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Proxy Statement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57400" cy="28702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2057400" cy="287020"/>
                    </a:xfrm>
                    <a:prstGeom prst="rect">
                      <a:avLst/>
                    </a:prstGeom>
                  </pic:spPr>
                </pic:pic>
              </a:graphicData>
            </a:graphic>
          </wp:inline>
        </w:drawing>
      </w:r>
      <w:r>
        <w:rPr/>
        <w:t xml:space="preserve"> </w:t>
      </w:r>
    </w:p>
    <w:p>
      <w:pPr>
        <w:pStyle w:val="TextBody"/>
        <w:bidi w:val="0"/>
        <w:spacing w:before="120" w:after="0"/>
        <w:jc w:val="center"/>
        <w:rPr>
          <w:rFonts w:ascii="arial" w:hAnsi="arial"/>
          <w:sz w:val="20"/>
        </w:rPr>
      </w:pPr>
      <w:r>
        <w:rPr>
          <w:rFonts w:ascii="arial" w:hAnsi="arial"/>
          <w:sz w:val="20"/>
        </w:rPr>
        <w:t>600 N. H</w:t>
      </w:r>
      <w:r>
        <w:rPr>
          <w:rFonts w:ascii="arial" w:hAnsi="arial"/>
          <w:sz w:val="20"/>
          <w:u w:val="single"/>
        </w:rPr>
        <w:t>URSTBOURNE</w:t>
      </w:r>
      <w:r>
        <w:rPr>
          <w:rFonts w:ascii="arial" w:hAnsi="arial"/>
          <w:sz w:val="20"/>
        </w:rPr>
        <w:t xml:space="preserve"> P</w:t>
      </w:r>
      <w:r>
        <w:rPr>
          <w:rFonts w:ascii="arial" w:hAnsi="arial"/>
          <w:sz w:val="20"/>
          <w:u w:val="single"/>
        </w:rPr>
        <w:t>ARKWAY</w:t>
      </w:r>
      <w:r>
        <w:rPr>
          <w:rFonts w:ascii="arial" w:hAnsi="arial"/>
          <w:sz w:val="20"/>
        </w:rPr>
        <w:t>, S</w:t>
      </w:r>
      <w:r>
        <w:rPr>
          <w:rFonts w:ascii="arial" w:hAnsi="arial"/>
          <w:sz w:val="20"/>
          <w:u w:val="single"/>
        </w:rPr>
        <w:t>TE</w:t>
      </w:r>
      <w:r>
        <w:rPr>
          <w:rFonts w:ascii="arial" w:hAnsi="arial"/>
          <w:sz w:val="20"/>
        </w:rPr>
        <w:t xml:space="preserve">. 400 </w:t>
      </w:r>
    </w:p>
    <w:p>
      <w:pPr>
        <w:pStyle w:val="TextBody"/>
        <w:bidi w:val="0"/>
        <w:spacing w:before="0" w:after="0"/>
        <w:jc w:val="center"/>
        <w:rPr>
          <w:rFonts w:ascii="arial" w:hAnsi="arial"/>
          <w:sz w:val="20"/>
        </w:rPr>
      </w:pPr>
      <w:r>
        <w:rPr>
          <w:rFonts w:ascii="arial" w:hAnsi="arial"/>
          <w:sz w:val="20"/>
        </w:rPr>
        <w:t>L</w:t>
      </w:r>
      <w:r>
        <w:rPr>
          <w:rFonts w:ascii="arial" w:hAnsi="arial"/>
          <w:sz w:val="20"/>
          <w:u w:val="single"/>
        </w:rPr>
        <w:t>OUISVILLE</w:t>
      </w:r>
      <w:r>
        <w:rPr>
          <w:rFonts w:ascii="arial" w:hAnsi="arial"/>
          <w:sz w:val="20"/>
        </w:rPr>
        <w:t>, K</w:t>
      </w:r>
      <w:r>
        <w:rPr>
          <w:rFonts w:ascii="arial" w:hAnsi="arial"/>
          <w:sz w:val="20"/>
          <w:u w:val="single"/>
        </w:rPr>
        <w:t>ENTUCKY</w:t>
      </w:r>
      <w:r>
        <w:rPr>
          <w:rFonts w:ascii="arial" w:hAnsi="arial"/>
          <w:sz w:val="20"/>
        </w:rPr>
        <w:t xml:space="preserve"> 40222 </w:t>
      </w:r>
    </w:p>
    <w:p>
      <w:pPr>
        <w:pStyle w:val="TextBody"/>
        <w:bidi w:val="0"/>
        <w:spacing w:before="0" w:after="0"/>
        <w:jc w:val="left"/>
        <w:rPr/>
      </w:pPr>
      <w:r>
        <w:rPr/>
        <w:t> </w:t>
      </w:r>
    </w:p>
    <w:tbl>
      <w:tblPr>
        <w:tblW w:w="4956" w:type="dxa"/>
        <w:jc w:val="left"/>
        <w:tblInd w:w="0" w:type="dxa"/>
        <w:tblLayout w:type="fixed"/>
        <w:tblCellMar>
          <w:top w:w="0" w:type="dxa"/>
          <w:left w:w="0" w:type="dxa"/>
          <w:bottom w:w="0" w:type="dxa"/>
          <w:right w:w="0" w:type="dxa"/>
        </w:tblCellMar>
      </w:tblPr>
      <w:tblGrid>
        <w:gridCol w:w="75"/>
        <w:gridCol w:w="23"/>
        <w:gridCol w:w="23"/>
        <w:gridCol w:w="60"/>
        <w:gridCol w:w="4775"/>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75"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0"/>
              <w:jc w:val="left"/>
              <w:rPr>
                <w:rFonts w:ascii="arial" w:hAnsi="arial"/>
                <w:b/>
                <w:color w:val="004876"/>
                <w:sz w:val="48"/>
              </w:rPr>
            </w:pPr>
            <w:bookmarkStart w:id="3" w:name="toc123994_1"/>
            <w:bookmarkEnd w:id="3"/>
            <w:r>
              <w:rPr>
                <w:rFonts w:ascii="arial" w:hAnsi="arial"/>
                <w:b/>
                <w:color w:val="004876"/>
                <w:sz w:val="48"/>
              </w:rPr>
              <w:t>PROXY STATEMENT</w:t>
            </w:r>
          </w:p>
          <w:p>
            <w:pPr>
              <w:pStyle w:val="TableContents"/>
              <w:bidi w:val="0"/>
              <w:spacing w:before="0" w:after="20"/>
              <w:jc w:val="left"/>
              <w:rPr/>
            </w:pPr>
            <w:r>
              <w:rPr/>
              <w:t> </w:t>
            </w:r>
          </w:p>
        </w:tc>
      </w:tr>
    </w:tbl>
    <w:p>
      <w:pPr>
        <w:pStyle w:val="TextBody"/>
        <w:bidi w:val="0"/>
        <w:spacing w:before="360" w:after="0"/>
        <w:jc w:val="left"/>
        <w:rPr>
          <w:rFonts w:ascii="arial" w:hAnsi="arial"/>
          <w:b/>
          <w:color w:val="B99C16"/>
          <w:sz w:val="28"/>
        </w:rPr>
      </w:pPr>
      <w:bookmarkStart w:id="4" w:name="toc123994_2"/>
      <w:bookmarkEnd w:id="4"/>
      <w:r>
        <w:rPr>
          <w:rFonts w:ascii="arial" w:hAnsi="arial"/>
          <w:b/>
          <w:color w:val="B99C16"/>
          <w:sz w:val="28"/>
        </w:rPr>
        <w:t>A</w:t>
      </w:r>
      <w:r>
        <w:rPr>
          <w:rFonts w:ascii="arial" w:hAnsi="arial"/>
          <w:b/>
          <w:color w:val="B99C16"/>
          <w:sz w:val="20"/>
          <w:u w:val="single"/>
        </w:rPr>
        <w:t>NNUAL</w:t>
      </w:r>
      <w:r>
        <w:rPr>
          <w:rFonts w:ascii="arial" w:hAnsi="arial"/>
          <w:b/>
          <w:color w:val="B99C16"/>
          <w:sz w:val="28"/>
        </w:rPr>
        <w:t xml:space="preserve"> M</w:t>
      </w:r>
      <w:r>
        <w:rPr>
          <w:rFonts w:ascii="arial" w:hAnsi="arial"/>
          <w:b/>
          <w:color w:val="B99C16"/>
          <w:sz w:val="20"/>
          <w:u w:val="single"/>
        </w:rPr>
        <w:t>EETING</w:t>
      </w:r>
      <w:r>
        <w:rPr>
          <w:rFonts w:ascii="arial" w:hAnsi="arial"/>
          <w:b/>
          <w:color w:val="B99C16"/>
          <w:sz w:val="28"/>
        </w:rPr>
        <w:t xml:space="preserve"> </w:t>
      </w:r>
      <w:r>
        <w:rPr>
          <w:rFonts w:ascii="arial" w:hAnsi="arial"/>
          <w:b/>
          <w:color w:val="B99C16"/>
          <w:sz w:val="20"/>
          <w:u w:val="single"/>
        </w:rPr>
        <w:t>OF</w:t>
      </w:r>
      <w:r>
        <w:rPr>
          <w:rFonts w:ascii="arial" w:hAnsi="arial"/>
          <w:b/>
          <w:color w:val="B99C16"/>
          <w:sz w:val="28"/>
        </w:rPr>
        <w:t xml:space="preserve"> S</w:t>
      </w:r>
      <w:r>
        <w:rPr>
          <w:rFonts w:ascii="arial" w:hAnsi="arial"/>
          <w:b/>
          <w:color w:val="B99C16"/>
          <w:sz w:val="20"/>
          <w:u w:val="single"/>
        </w:rPr>
        <w:t>HAREHOLDERS</w:t>
      </w:r>
      <w:r>
        <w:rPr>
          <w:rFonts w:ascii="arial" w:hAnsi="arial"/>
          <w:b/>
          <w:color w:val="B99C16"/>
          <w:sz w:val="28"/>
        </w:rPr>
        <w:t xml:space="preserve"> </w:t>
      </w:r>
      <w:r>
        <w:rPr>
          <w:rFonts w:ascii="arial" w:hAnsi="arial"/>
          <w:b/>
          <w:color w:val="B99C16"/>
          <w:sz w:val="20"/>
          <w:u w:val="single"/>
        </w:rPr>
        <w:t>TO</w:t>
      </w:r>
      <w:r>
        <w:rPr>
          <w:rFonts w:ascii="arial" w:hAnsi="arial"/>
          <w:b/>
          <w:color w:val="B99C16"/>
          <w:sz w:val="28"/>
        </w:rPr>
        <w:t xml:space="preserve"> </w:t>
      </w:r>
      <w:r>
        <w:rPr>
          <w:rFonts w:ascii="arial" w:hAnsi="arial"/>
          <w:b/>
          <w:color w:val="B99C16"/>
          <w:sz w:val="20"/>
          <w:u w:val="single"/>
        </w:rPr>
        <w:t>BE</w:t>
      </w:r>
      <w:r>
        <w:rPr>
          <w:rFonts w:ascii="arial" w:hAnsi="arial"/>
          <w:b/>
          <w:color w:val="B99C16"/>
          <w:sz w:val="28"/>
        </w:rPr>
        <w:t xml:space="preserve"> </w:t>
      </w:r>
      <w:r>
        <w:rPr>
          <w:rFonts w:ascii="arial" w:hAnsi="arial"/>
          <w:b/>
          <w:color w:val="B99C16"/>
          <w:sz w:val="20"/>
          <w:u w:val="single"/>
        </w:rPr>
        <w:t>HELD</w:t>
      </w:r>
      <w:r>
        <w:rPr>
          <w:rFonts w:ascii="arial" w:hAnsi="arial"/>
          <w:b/>
          <w:color w:val="B99C16"/>
          <w:sz w:val="28"/>
        </w:rPr>
        <w:t xml:space="preserve"> </w:t>
      </w:r>
      <w:r>
        <w:rPr>
          <w:rFonts w:ascii="arial" w:hAnsi="arial"/>
          <w:b/>
          <w:color w:val="B99C16"/>
          <w:sz w:val="20"/>
          <w:u w:val="single"/>
        </w:rPr>
        <w:t>ON</w:t>
      </w:r>
      <w:r>
        <w:rPr>
          <w:rFonts w:ascii="arial" w:hAnsi="arial"/>
          <w:b/>
          <w:color w:val="B99C16"/>
          <w:sz w:val="28"/>
        </w:rPr>
        <w:t xml:space="preserve"> A</w:t>
      </w:r>
      <w:r>
        <w:rPr>
          <w:rFonts w:ascii="arial" w:hAnsi="arial"/>
          <w:b/>
          <w:color w:val="B99C16"/>
          <w:sz w:val="20"/>
          <w:u w:val="single"/>
        </w:rPr>
        <w:t>PRIL</w:t>
      </w:r>
      <w:r>
        <w:rPr>
          <w:rFonts w:ascii="arial" w:hAnsi="arial"/>
          <w:b/>
          <w:color w:val="B99C16"/>
          <w:sz w:val="28"/>
        </w:rPr>
        <w:t xml:space="preserve"> 21, 2026 </w:t>
      </w:r>
    </w:p>
    <w:p>
      <w:pPr>
        <w:pStyle w:val="TextBody"/>
        <w:bidi w:val="0"/>
        <w:spacing w:before="240" w:after="0"/>
        <w:jc w:val="left"/>
        <w:rPr>
          <w:rFonts w:ascii="arial" w:hAnsi="arial"/>
          <w:sz w:val="20"/>
        </w:rPr>
      </w:pPr>
      <w:r>
        <w:rPr>
          <w:rFonts w:ascii="arial" w:hAnsi="arial"/>
          <w:sz w:val="20"/>
        </w:rPr>
        <w:t xml:space="preserve">The Board of Directors (the “Board of Directors” or “Board”) of Churchill Downs Incorporated (“Company” “or “CHDN”) is soliciting proxies to be voted at the 2026 Annual Meeting of Shareholders to be held on </w:t>
      </w:r>
      <w:r>
        <w:rPr>
          <w:rFonts w:ascii="arial" w:hAnsi="arial"/>
          <w:b/>
          <w:sz w:val="20"/>
        </w:rPr>
        <w:t>Tuesday, April</w:t>
      </w:r>
      <w:r>
        <w:rPr>
          <w:rFonts w:ascii="arial" w:hAnsi="arial"/>
          <w:sz w:val="20"/>
        </w:rPr>
        <w:t> </w:t>
      </w:r>
      <w:r>
        <w:rPr>
          <w:rFonts w:ascii="arial" w:hAnsi="arial"/>
          <w:b/>
          <w:sz w:val="20"/>
        </w:rPr>
        <w:t>21, 2026, at 9:00</w:t>
      </w:r>
      <w:r>
        <w:rPr>
          <w:rFonts w:ascii="arial" w:hAnsi="arial"/>
          <w:sz w:val="20"/>
        </w:rPr>
        <w:t> </w:t>
      </w:r>
      <w:r>
        <w:rPr>
          <w:rFonts w:ascii="arial" w:hAnsi="arial"/>
          <w:b/>
          <w:sz w:val="20"/>
        </w:rPr>
        <w:t>a.m. Eastern Time (the “Annual Meeting”)</w:t>
      </w:r>
      <w:r>
        <w:rPr>
          <w:rFonts w:ascii="arial" w:hAnsi="arial"/>
          <w:sz w:val="20"/>
        </w:rPr>
        <w:t xml:space="preserve">, and at any adjournment or postponement thereof. The Annual Meeting will be held in a virtual meeting format only. You will be able to attend and participate in the Annual Meeting online by visiting www.proxydocs.com/CHDN. Certain officers and directors of the Company and persons acting under their instruction may also solicit proxies on behalf of the Board of Directors by means of telephone calls, personal interviews and mail at no additional expense to the Company. The Notice of Internet Availability of Proxy Materials (the “Notice”) was first mailed to shareholders on or about March 12, 2026. </w:t>
      </w:r>
    </w:p>
    <w:p>
      <w:pPr>
        <w:pStyle w:val="TextBody"/>
        <w:bidi w:val="0"/>
        <w:spacing w:before="360" w:after="0"/>
        <w:jc w:val="left"/>
        <w:rPr>
          <w:rFonts w:ascii="arial" w:hAnsi="arial"/>
          <w:b/>
          <w:color w:val="004876"/>
          <w:sz w:val="20"/>
        </w:rPr>
      </w:pPr>
      <w:bookmarkStart w:id="5" w:name="toc123994_3"/>
      <w:bookmarkEnd w:id="5"/>
      <w:r>
        <w:rPr>
          <w:rFonts w:ascii="arial" w:hAnsi="arial"/>
          <w:b/>
          <w:color w:val="004876"/>
          <w:sz w:val="20"/>
        </w:rPr>
        <w:t xml:space="preserve">Voting Rights </w:t>
      </w:r>
    </w:p>
    <w:p>
      <w:pPr>
        <w:pStyle w:val="TextBody"/>
        <w:bidi w:val="0"/>
        <w:spacing w:before="120" w:after="0"/>
        <w:jc w:val="left"/>
        <w:rPr>
          <w:rFonts w:ascii="arial" w:hAnsi="arial"/>
          <w:sz w:val="20"/>
        </w:rPr>
      </w:pPr>
      <w:r>
        <w:rPr>
          <w:rFonts w:ascii="arial" w:hAnsi="arial"/>
          <w:sz w:val="20"/>
        </w:rPr>
        <w:t xml:space="preserve">Only holders of record of the Company’s Common Stock, no par value (“Common Stock”), as of the close of business on March 2, 2026 (the “Record Date”), are entitled to notice of and to vote at the Annual Meeting. On that date, 69,696,376 shares of Common Stock were outstanding and entitled to vote. Each shareholder has one vote per share on all matters coming before the Annual Meeting. The shareholders of the Company do not have cumulative voting rights in the election of directors. </w:t>
      </w:r>
    </w:p>
    <w:p>
      <w:pPr>
        <w:pStyle w:val="TextBody"/>
        <w:bidi w:val="0"/>
        <w:spacing w:before="240" w:after="0"/>
        <w:jc w:val="left"/>
        <w:rPr>
          <w:rFonts w:ascii="arial" w:hAnsi="arial"/>
          <w:sz w:val="20"/>
        </w:rPr>
      </w:pPr>
      <w:r>
        <w:rPr>
          <w:rFonts w:ascii="arial" w:hAnsi="arial"/>
          <w:sz w:val="20"/>
        </w:rPr>
        <w:t xml:space="preserve">To ensure your votes are counted, please vote over the Internet, by telephone or by mail as instructed in these materials as promptly as possible. </w:t>
      </w:r>
    </w:p>
    <w:p>
      <w:pPr>
        <w:pStyle w:val="TextBody"/>
        <w:bidi w:val="0"/>
        <w:spacing w:before="360" w:after="0"/>
        <w:jc w:val="left"/>
        <w:rPr>
          <w:rFonts w:ascii="arial" w:hAnsi="arial"/>
          <w:b/>
          <w:color w:val="B99C16"/>
          <w:sz w:val="28"/>
        </w:rPr>
      </w:pPr>
      <w:bookmarkStart w:id="6" w:name="toc123994_4"/>
      <w:bookmarkEnd w:id="6"/>
      <w:r>
        <w:rPr>
          <w:rFonts w:ascii="arial" w:hAnsi="arial"/>
          <w:b/>
          <w:color w:val="B99C16"/>
          <w:sz w:val="28"/>
        </w:rPr>
        <w:t>V</w:t>
      </w:r>
      <w:r>
        <w:rPr>
          <w:rFonts w:ascii="arial" w:hAnsi="arial"/>
          <w:b/>
          <w:color w:val="B99C16"/>
          <w:sz w:val="20"/>
          <w:u w:val="single"/>
        </w:rPr>
        <w:t>OTING</w:t>
      </w:r>
      <w:r>
        <w:rPr>
          <w:rFonts w:ascii="arial" w:hAnsi="arial"/>
          <w:b/>
          <w:color w:val="B99C16"/>
          <w:sz w:val="28"/>
        </w:rPr>
        <w:t xml:space="preserve"> I</w:t>
      </w:r>
      <w:r>
        <w:rPr>
          <w:rFonts w:ascii="arial" w:hAnsi="arial"/>
          <w:b/>
          <w:color w:val="B99C16"/>
          <w:sz w:val="20"/>
          <w:u w:val="single"/>
        </w:rPr>
        <w:t>NSTRUCTIONS</w:t>
      </w:r>
      <w:r>
        <w:rPr>
          <w:rFonts w:ascii="arial" w:hAnsi="arial"/>
          <w:b/>
          <w:color w:val="B99C16"/>
          <w:sz w:val="28"/>
        </w:rPr>
        <w:t xml:space="preserve"> </w:t>
      </w:r>
      <w:r>
        <w:rPr>
          <w:rFonts w:ascii="arial" w:hAnsi="arial"/>
          <w:b/>
          <w:color w:val="B99C16"/>
          <w:sz w:val="20"/>
          <w:u w:val="single"/>
        </w:rPr>
        <w:t>AND</w:t>
      </w:r>
      <w:r>
        <w:rPr>
          <w:rFonts w:ascii="arial" w:hAnsi="arial"/>
          <w:b/>
          <w:color w:val="B99C16"/>
          <w:sz w:val="28"/>
        </w:rPr>
        <w:t xml:space="preserve"> I</w:t>
      </w:r>
      <w:r>
        <w:rPr>
          <w:rFonts w:ascii="arial" w:hAnsi="arial"/>
          <w:b/>
          <w:color w:val="B99C16"/>
          <w:sz w:val="20"/>
          <w:u w:val="single"/>
        </w:rPr>
        <w:t>NFORMATION</w:t>
      </w:r>
      <w:r>
        <w:rPr>
          <w:rFonts w:ascii="arial" w:hAnsi="arial"/>
          <w:b/>
          <w:color w:val="B99C16"/>
          <w:sz w:val="28"/>
        </w:rPr>
        <w:t xml:space="preserve"> </w:t>
      </w:r>
    </w:p>
    <w:p>
      <w:pPr>
        <w:pStyle w:val="TextBody"/>
        <w:bidi w:val="0"/>
        <w:spacing w:before="240" w:after="0"/>
        <w:jc w:val="left"/>
        <w:rPr>
          <w:rFonts w:ascii="arial" w:hAnsi="arial"/>
          <w:b/>
          <w:color w:val="004876"/>
          <w:sz w:val="20"/>
        </w:rPr>
      </w:pPr>
      <w:r>
        <w:rPr>
          <w:rFonts w:ascii="arial" w:hAnsi="arial"/>
          <w:b/>
          <w:color w:val="004876"/>
          <w:sz w:val="20"/>
        </w:rPr>
        <w:t xml:space="preserve">When and where is our virtual Annual Meeting? </w:t>
      </w:r>
    </w:p>
    <w:p>
      <w:pPr>
        <w:pStyle w:val="TextBody"/>
        <w:bidi w:val="0"/>
        <w:spacing w:before="120" w:after="0"/>
        <w:jc w:val="left"/>
        <w:rPr>
          <w:rFonts w:ascii="arial" w:hAnsi="arial"/>
          <w:sz w:val="20"/>
        </w:rPr>
      </w:pPr>
      <w:r>
        <w:rPr>
          <w:rFonts w:ascii="arial" w:hAnsi="arial"/>
          <w:sz w:val="20"/>
        </w:rPr>
        <w:t xml:space="preserve">We will hold our virtual Annual Meeting on Tuesday, April 21, 2026 at 9:00 a.m. Eastern Time online at www.proxydocs.com/CHDN. </w:t>
      </w:r>
    </w:p>
    <w:p>
      <w:pPr>
        <w:pStyle w:val="TextBody"/>
        <w:bidi w:val="0"/>
        <w:spacing w:before="360" w:after="0"/>
        <w:jc w:val="left"/>
        <w:rPr>
          <w:rFonts w:ascii="arial" w:hAnsi="arial"/>
          <w:b/>
          <w:color w:val="004876"/>
          <w:sz w:val="20"/>
        </w:rPr>
      </w:pPr>
      <w:r>
        <w:rPr>
          <w:rFonts w:ascii="arial" w:hAnsi="arial"/>
          <w:b/>
          <w:color w:val="004876"/>
          <w:sz w:val="20"/>
        </w:rPr>
        <w:t xml:space="preserve">How are we distributing our proxy materials? </w:t>
      </w:r>
    </w:p>
    <w:p>
      <w:pPr>
        <w:pStyle w:val="TextBody"/>
        <w:bidi w:val="0"/>
        <w:spacing w:before="120" w:after="0"/>
        <w:jc w:val="left"/>
        <w:rPr>
          <w:rFonts w:ascii="arial" w:hAnsi="arial"/>
          <w:sz w:val="20"/>
        </w:rPr>
      </w:pPr>
      <w:r>
        <w:rPr>
          <w:rFonts w:ascii="arial" w:hAnsi="arial"/>
          <w:sz w:val="20"/>
        </w:rPr>
        <w:t xml:space="preserve">In accordance with the “notice and access” rules and regulations adopted by the SEC, instead of mailing a printed copy of our proxy materials to each shareholder of record (the “full set delivery” option), we are furnishing proxy materials to our shareholders over the Internet (the “notice only” option). A company may use either option, “notice only” or “full set delivery,” for all of its shareholders or may use one method for some shareholders and the other method for others. We believe the “notice only” process expedites shareholders’ receipt of proxy materials and reduces the costs and environmental impact of our Annual Meeting. The Company will bear the entire cost of the solicitation. </w:t>
      </w:r>
    </w:p>
    <w:p>
      <w:pPr>
        <w:pStyle w:val="TextBody"/>
        <w:bidi w:val="0"/>
        <w:spacing w:before="240" w:after="0"/>
        <w:jc w:val="left"/>
        <w:rPr>
          <w:rFonts w:ascii="arial" w:hAnsi="arial"/>
          <w:sz w:val="20"/>
        </w:rPr>
      </w:pPr>
      <w:r>
        <w:rPr>
          <w:rFonts w:ascii="arial" w:hAnsi="arial"/>
          <w:sz w:val="20"/>
        </w:rPr>
        <w:t xml:space="preserve">On or about March 12, 2026, we began mailing a Notice to our shareholders containing instructions on how to access this Proxy Statement and our 2025 Annual Report on Form 10-K and vote online, as well as instructions on how to receive paper copies of these documents for shareholders who so select. This Proxy Statement and the 2025 Annual Report on Form 10-K are also available at </w:t>
      </w:r>
      <w:r>
        <w:rPr>
          <w:rFonts w:ascii="arial" w:hAnsi="arial"/>
          <w:sz w:val="20"/>
          <w:u w:val="single"/>
        </w:rPr>
        <w:t>http://www.churchilldownsincorporated.com/proxy</w:t>
      </w:r>
      <w:r>
        <w:rPr>
          <w:rFonts w:ascii="arial" w:hAnsi="arial"/>
          <w:sz w:val="20"/>
        </w:rPr>
        <w:t xml:space="preserve">. </w:t>
      </w:r>
    </w:p>
    <w:p>
      <w:pPr>
        <w:pStyle w:val="TextBody"/>
        <w:bidi w:val="0"/>
        <w:spacing w:before="360" w:after="0"/>
        <w:jc w:val="left"/>
        <w:rPr>
          <w:rFonts w:ascii="arial" w:hAnsi="arial"/>
          <w:b/>
          <w:color w:val="004876"/>
          <w:sz w:val="20"/>
        </w:rPr>
      </w:pPr>
      <w:r>
        <w:rPr>
          <w:rFonts w:ascii="arial" w:hAnsi="arial"/>
          <w:b/>
          <w:color w:val="004876"/>
          <w:sz w:val="20"/>
        </w:rPr>
        <w:t xml:space="preserve">Who can vote and ask questions at the Annual Meeting? </w:t>
      </w:r>
    </w:p>
    <w:p>
      <w:pPr>
        <w:pStyle w:val="TextBody"/>
        <w:bidi w:val="0"/>
        <w:spacing w:before="120" w:after="0"/>
        <w:jc w:val="left"/>
        <w:rPr>
          <w:rFonts w:ascii="arial" w:hAnsi="arial"/>
          <w:sz w:val="20"/>
        </w:rPr>
      </w:pPr>
      <w:r>
        <w:rPr>
          <w:rFonts w:ascii="arial" w:hAnsi="arial"/>
          <w:sz w:val="20"/>
        </w:rPr>
        <w:t xml:space="preserve">You are entitled to vote or direct the voting of your shares of CHDN Common Stock if you were a shareholder of record or if you held CHDN Common Stock in “street name” at the close of business on the Record Date (Monday, March 2, 2026). On that date, 69,696,376 shares of CHDN Common Stock were outstanding. Each share of CHDN Common Stock held by you on the Record Date is entitled to one vote. </w:t>
      </w:r>
    </w:p>
    <w:p>
      <w:pPr>
        <w:pStyle w:val="TextBody"/>
        <w:bidi w:val="0"/>
        <w:spacing w:before="0" w:after="0"/>
        <w:jc w:val="left"/>
        <w:rPr/>
      </w:pPr>
      <w:r>
        <w:rPr/>
        <w:t> </w:t>
      </w:r>
    </w:p>
    <w:tbl>
      <w:tblPr>
        <w:tblW w:w="4733" w:type="dxa"/>
        <w:jc w:val="left"/>
        <w:tblInd w:w="0" w:type="dxa"/>
        <w:tblLayout w:type="fixed"/>
        <w:tblCellMar>
          <w:top w:w="0" w:type="dxa"/>
          <w:left w:w="0" w:type="dxa"/>
          <w:bottom w:w="0" w:type="dxa"/>
          <w:right w:w="0" w:type="dxa"/>
        </w:tblCellMar>
      </w:tblPr>
      <w:tblGrid>
        <w:gridCol w:w="1835"/>
        <w:gridCol w:w="60"/>
        <w:gridCol w:w="2638"/>
        <w:gridCol w:w="60"/>
        <w:gridCol w:w="140"/>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Proxy Statement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To vote during the Annual Meeting, you must be properly logged into the meeting website, as explained below under “What do I need to attend, and vote at, the Annual Meeting?” We will respond to questions submitted that are applicable to our business and otherwise in compliance with the rules of conduct for the meeting. </w:t>
      </w:r>
    </w:p>
    <w:p>
      <w:pPr>
        <w:pStyle w:val="TextBody"/>
        <w:bidi w:val="0"/>
        <w:spacing w:before="360" w:after="0"/>
        <w:jc w:val="left"/>
        <w:rPr>
          <w:rFonts w:ascii="arial" w:hAnsi="arial"/>
          <w:b/>
          <w:color w:val="004876"/>
          <w:sz w:val="20"/>
        </w:rPr>
      </w:pPr>
      <w:r>
        <w:rPr>
          <w:rFonts w:ascii="arial" w:hAnsi="arial"/>
          <w:b/>
          <w:color w:val="004876"/>
          <w:sz w:val="20"/>
        </w:rPr>
        <w:t xml:space="preserve">How many votes must be present to hold the Annual Meeting? </w:t>
      </w:r>
    </w:p>
    <w:p>
      <w:pPr>
        <w:pStyle w:val="TextBody"/>
        <w:bidi w:val="0"/>
        <w:spacing w:before="120" w:after="0"/>
        <w:jc w:val="left"/>
        <w:rPr>
          <w:rFonts w:ascii="arial" w:hAnsi="arial"/>
          <w:sz w:val="20"/>
        </w:rPr>
      </w:pPr>
      <w:r>
        <w:rPr>
          <w:rFonts w:ascii="arial" w:hAnsi="arial"/>
          <w:sz w:val="20"/>
        </w:rPr>
        <w:t xml:space="preserve">We must have a “quorum” to conduct the Annual Meeting. A majority of the outstanding shares of Common Stock entitled to vote, represented in person by virtual attendance or by proxy, shall constitute a quorum. Once a share is represented for any purpose at the Annual Meeting, it will be deemed present for quorum purposes for the remainder of the Annual Meeting and for any adjournment of the Annual Meeting, unless a new record date must be set for the adjourned meeting. </w:t>
      </w:r>
    </w:p>
    <w:p>
      <w:pPr>
        <w:pStyle w:val="TextBody"/>
        <w:bidi w:val="0"/>
        <w:spacing w:before="360" w:after="0"/>
        <w:jc w:val="left"/>
        <w:rPr>
          <w:rFonts w:ascii="arial" w:hAnsi="arial"/>
          <w:b/>
          <w:color w:val="004876"/>
          <w:sz w:val="20"/>
        </w:rPr>
      </w:pPr>
      <w:r>
        <w:rPr>
          <w:rFonts w:ascii="arial" w:hAnsi="arial"/>
          <w:b/>
          <w:color w:val="004876"/>
          <w:sz w:val="20"/>
        </w:rPr>
        <w:t xml:space="preserve">What do I need to attend, and vote at, the Annual Meeting? </w:t>
      </w:r>
    </w:p>
    <w:p>
      <w:pPr>
        <w:pStyle w:val="TextBody"/>
        <w:bidi w:val="0"/>
        <w:spacing w:before="120" w:after="0"/>
        <w:jc w:val="left"/>
        <w:rPr>
          <w:rFonts w:ascii="arial" w:hAnsi="arial"/>
          <w:sz w:val="20"/>
        </w:rPr>
      </w:pPr>
      <w:r>
        <w:rPr>
          <w:rFonts w:ascii="arial" w:hAnsi="arial"/>
          <w:sz w:val="20"/>
        </w:rPr>
        <w:t xml:space="preserve">In order to attend the Annual Meeting, you must register in advance at www.proxydocs.com/CHDN prior to the deadline of </w:t>
      </w:r>
      <w:r>
        <w:rPr>
          <w:rFonts w:ascii="arial" w:hAnsi="arial"/>
          <w:b/>
          <w:sz w:val="20"/>
        </w:rPr>
        <w:t>April</w:t>
      </w:r>
      <w:r>
        <w:rPr>
          <w:rFonts w:ascii="arial" w:hAnsi="arial"/>
          <w:sz w:val="20"/>
        </w:rPr>
        <w:t> </w:t>
      </w:r>
      <w:r>
        <w:rPr>
          <w:rFonts w:ascii="arial" w:hAnsi="arial"/>
          <w:b/>
          <w:sz w:val="20"/>
        </w:rPr>
        <w:t>19, 2026 at 5:00 p.m. (Eastern Time)</w:t>
      </w:r>
      <w:r>
        <w:rPr>
          <w:rFonts w:ascii="arial" w:hAnsi="arial"/>
          <w:sz w:val="20"/>
        </w:rPr>
        <w:t xml:space="preserve">. Upon completing your registration, you will receive further instructions via email, including your unique link that will allow you access to the Annual Meeting and to submit questions prior to the Annual Meeting. Only CHDN shareholders of record as of the close of business on the Record Date will be permitted to attend the Annual Meeting. If you hold shares in “street name,” you will also need a valid “legal proxy” in order to vote at the Annual Meeting, which you can obtain by contacting your account representative at the broker, bank or similar institution through which you hold your shares. This legal proxy must be submitted with your registration to be able to vote your shares at the Annual Meeting. </w:t>
      </w:r>
    </w:p>
    <w:p>
      <w:pPr>
        <w:pStyle w:val="TextBody"/>
        <w:bidi w:val="0"/>
        <w:spacing w:before="240" w:after="0"/>
        <w:jc w:val="left"/>
        <w:rPr>
          <w:rFonts w:ascii="arial" w:hAnsi="arial"/>
          <w:sz w:val="20"/>
        </w:rPr>
      </w:pPr>
      <w:r>
        <w:rPr>
          <w:rFonts w:ascii="arial" w:hAnsi="arial"/>
          <w:sz w:val="20"/>
        </w:rPr>
        <w:t xml:space="preserve">If you encounter any technical difficulties accessing the virtual Annual Meeting, please call the technical support number that will be posted on the virtual meeting log-in page. </w:t>
      </w:r>
    </w:p>
    <w:p>
      <w:pPr>
        <w:pStyle w:val="TextBody"/>
        <w:bidi w:val="0"/>
        <w:spacing w:before="360" w:after="0"/>
        <w:jc w:val="left"/>
        <w:rPr>
          <w:rFonts w:ascii="arial" w:hAnsi="arial"/>
          <w:b/>
          <w:color w:val="004876"/>
          <w:sz w:val="20"/>
        </w:rPr>
      </w:pPr>
      <w:r>
        <w:rPr>
          <w:rFonts w:ascii="arial" w:hAnsi="arial"/>
          <w:b/>
          <w:color w:val="004876"/>
          <w:sz w:val="20"/>
        </w:rPr>
        <w:t xml:space="preserve">What proposals will be voted on at the Annual Meeting? </w:t>
      </w:r>
    </w:p>
    <w:p>
      <w:pPr>
        <w:pStyle w:val="TextBody"/>
        <w:bidi w:val="0"/>
        <w:spacing w:before="120" w:after="0"/>
        <w:jc w:val="left"/>
        <w:rPr>
          <w:rFonts w:ascii="arial" w:hAnsi="arial"/>
          <w:sz w:val="20"/>
        </w:rPr>
      </w:pPr>
      <w:r>
        <w:rPr>
          <w:rFonts w:ascii="arial" w:hAnsi="arial"/>
          <w:sz w:val="20"/>
        </w:rPr>
        <w:t xml:space="preserve">The following proposals from the Company will be considered and voted on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pPr>
            <w:r>
              <w:rPr/>
              <w:t>1.</w:t>
            </w:r>
          </w:p>
        </w:tc>
        <w:tc>
          <w:tcPr>
            <w:tcW w:w="9993" w:type="dxa"/>
            <w:tcBorders/>
            <w:vAlign w:val="center"/>
          </w:tcPr>
          <w:p>
            <w:pPr>
              <w:pStyle w:val="TableContents"/>
              <w:bidi w:val="0"/>
              <w:spacing w:before="0" w:after="0"/>
              <w:jc w:val="left"/>
              <w:rPr>
                <w:rFonts w:ascii="arial" w:hAnsi="arial"/>
                <w:sz w:val="20"/>
              </w:rPr>
            </w:pPr>
            <w:r>
              <w:rPr>
                <w:rFonts w:ascii="arial" w:hAnsi="arial"/>
                <w:sz w:val="20"/>
              </w:rPr>
              <w:t xml:space="preserve">To elect the two (2) Class III Directors identified in this Proxy Statement for a term of three (3) years (Proposal No.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pPr>
            <w:r>
              <w:rPr/>
              <w:t>2.</w:t>
            </w:r>
          </w:p>
        </w:tc>
        <w:tc>
          <w:tcPr>
            <w:tcW w:w="10012" w:type="dxa"/>
            <w:tcBorders/>
            <w:vAlign w:val="center"/>
          </w:tcPr>
          <w:p>
            <w:pPr>
              <w:pStyle w:val="TableContents"/>
              <w:bidi w:val="0"/>
              <w:spacing w:before="0" w:after="0"/>
              <w:jc w:val="left"/>
              <w:rPr>
                <w:rFonts w:ascii="arial" w:hAnsi="arial"/>
                <w:sz w:val="20"/>
              </w:rPr>
            </w:pPr>
            <w:r>
              <w:rPr>
                <w:rFonts w:ascii="arial" w:hAnsi="arial"/>
                <w:sz w:val="20"/>
              </w:rPr>
              <w:t xml:space="preserve">To ratify the appointment of PricewaterhouseCoopers LLP as the Company’s independent registered public accounting firm for fiscal year 2026 (Proposal No. 2);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pPr>
            <w:r>
              <w:rPr/>
              <w:t>3.</w:t>
            </w:r>
          </w:p>
        </w:tc>
        <w:tc>
          <w:tcPr>
            <w:tcW w:w="10011" w:type="dxa"/>
            <w:tcBorders/>
            <w:vAlign w:val="center"/>
          </w:tcPr>
          <w:p>
            <w:pPr>
              <w:pStyle w:val="TableContents"/>
              <w:bidi w:val="0"/>
              <w:spacing w:before="0" w:after="0"/>
              <w:jc w:val="left"/>
              <w:rPr>
                <w:rFonts w:ascii="arial" w:hAnsi="arial"/>
                <w:sz w:val="20"/>
              </w:rPr>
            </w:pPr>
            <w:r>
              <w:rPr>
                <w:rFonts w:ascii="arial" w:hAnsi="arial"/>
                <w:sz w:val="20"/>
              </w:rPr>
              <w:t xml:space="preserve">To conduct an advisory vote to approve the executive compensation of the Company’s named executive officers as disclosed in this Proxy Statement (Proposal No. 3). </w:t>
            </w:r>
          </w:p>
        </w:tc>
      </w:tr>
    </w:tbl>
    <w:p>
      <w:pPr>
        <w:pStyle w:val="TextBody"/>
        <w:bidi w:val="0"/>
        <w:spacing w:before="240" w:after="0"/>
        <w:jc w:val="left"/>
        <w:rPr>
          <w:rFonts w:ascii="arial" w:hAnsi="arial"/>
          <w:sz w:val="20"/>
        </w:rPr>
      </w:pPr>
      <w:r>
        <w:rPr>
          <w:rFonts w:ascii="arial" w:hAnsi="arial"/>
          <w:sz w:val="20"/>
        </w:rPr>
        <w:t xml:space="preserve">You may also vote on any other business as may properly come before the Annual Meeting or any adjournment thereof, including matters incident to the Annual Meeting’s conduct. </w:t>
      </w:r>
    </w:p>
    <w:p>
      <w:pPr>
        <w:pStyle w:val="TextBody"/>
        <w:bidi w:val="0"/>
        <w:spacing w:before="360" w:after="0"/>
        <w:jc w:val="left"/>
        <w:rPr>
          <w:rFonts w:ascii="arial" w:hAnsi="arial"/>
          <w:b/>
          <w:color w:val="004876"/>
          <w:sz w:val="20"/>
        </w:rPr>
      </w:pPr>
      <w:r>
        <w:rPr>
          <w:rFonts w:ascii="arial" w:hAnsi="arial"/>
          <w:b/>
          <w:color w:val="004876"/>
          <w:sz w:val="20"/>
        </w:rPr>
        <w:t xml:space="preserve">How does the Board of Directors recommend I vote? </w:t>
      </w:r>
    </w:p>
    <w:p>
      <w:pPr>
        <w:pStyle w:val="TextBody"/>
        <w:bidi w:val="0"/>
        <w:spacing w:before="120" w:after="0"/>
        <w:jc w:val="left"/>
        <w:rPr>
          <w:rFonts w:ascii="arial" w:hAnsi="arial"/>
          <w:sz w:val="20"/>
        </w:rPr>
      </w:pPr>
      <w:r>
        <w:rPr>
          <w:rFonts w:ascii="arial" w:hAnsi="arial"/>
          <w:sz w:val="20"/>
        </w:rPr>
        <w:t xml:space="preserve">CHDN’s Board of Directors unanimously recommends that you vote: </w:t>
      </w:r>
    </w:p>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15"/>
        <w:gridCol w:w="7760"/>
      </w:tblGrid>
      <w:tr>
        <w:trPr/>
        <w:tc>
          <w:tcPr>
            <w:tcW w:w="215" w:type="dxa"/>
            <w:tcBorders/>
            <w:vAlign w:val="center"/>
          </w:tcPr>
          <w:p>
            <w:pPr>
              <w:pStyle w:val="TableContents"/>
              <w:bidi w:val="0"/>
              <w:spacing w:before="0" w:after="283"/>
              <w:jc w:val="left"/>
              <w:rPr/>
            </w:pPr>
            <w:r>
              <w:rPr/>
              <w:t>1.</w:t>
            </w:r>
          </w:p>
        </w:tc>
        <w:tc>
          <w:tcPr>
            <w:tcW w:w="7760" w:type="dxa"/>
            <w:tcBorders/>
            <w:vAlign w:val="center"/>
          </w:tcPr>
          <w:p>
            <w:pPr>
              <w:pStyle w:val="TableContents"/>
              <w:bidi w:val="0"/>
              <w:spacing w:before="0" w:after="0"/>
              <w:jc w:val="left"/>
              <w:rPr/>
            </w:pPr>
            <w:r>
              <w:rPr/>
              <w:t>“</w:t>
            </w:r>
            <w:r>
              <w:rPr>
                <w:rFonts w:ascii="arial" w:hAnsi="arial"/>
                <w:b/>
                <w:sz w:val="20"/>
              </w:rPr>
              <w:t>FOR</w:t>
            </w:r>
            <w:r>
              <w:rPr>
                <w:rFonts w:ascii="arial" w:hAnsi="arial"/>
                <w:sz w:val="20"/>
              </w:rPr>
              <w:t xml:space="preserve">” each of the two (2) Class III director nominees identified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pPr>
            <w:r>
              <w:rPr/>
              <w:t>2.</w:t>
            </w:r>
          </w:p>
        </w:tc>
        <w:tc>
          <w:tcPr>
            <w:tcW w:w="10012" w:type="dxa"/>
            <w:tcBorders/>
            <w:vAlign w:val="center"/>
          </w:tcPr>
          <w:p>
            <w:pPr>
              <w:pStyle w:val="TableContents"/>
              <w:bidi w:val="0"/>
              <w:spacing w:before="0" w:after="0"/>
              <w:jc w:val="left"/>
              <w:rPr/>
            </w:pPr>
            <w:r>
              <w:rPr/>
              <w:t>“</w:t>
            </w:r>
            <w:r>
              <w:rPr>
                <w:rFonts w:ascii="arial" w:hAnsi="arial"/>
                <w:b/>
                <w:sz w:val="20"/>
              </w:rPr>
              <w:t>FOR</w:t>
            </w:r>
            <w:r>
              <w:rPr>
                <w:rFonts w:ascii="arial" w:hAnsi="arial"/>
                <w:sz w:val="20"/>
              </w:rPr>
              <w:t xml:space="preserve">” the proposal to ratify the appointment of PricewaterhouseCoopers LLP as the Company’s independent registered public accounting firm for fiscal year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3.</w:t>
            </w:r>
          </w:p>
        </w:tc>
        <w:tc>
          <w:tcPr>
            <w:tcW w:w="10013" w:type="dxa"/>
            <w:tcBorders/>
            <w:vAlign w:val="center"/>
          </w:tcPr>
          <w:p>
            <w:pPr>
              <w:pStyle w:val="TableContents"/>
              <w:bidi w:val="0"/>
              <w:spacing w:before="0" w:after="0"/>
              <w:jc w:val="left"/>
              <w:rPr/>
            </w:pPr>
            <w:r>
              <w:rPr/>
              <w:t>“</w:t>
            </w:r>
            <w:r>
              <w:rPr>
                <w:rFonts w:ascii="arial" w:hAnsi="arial"/>
                <w:b/>
                <w:sz w:val="20"/>
              </w:rPr>
              <w:t>FOR</w:t>
            </w:r>
            <w:r>
              <w:rPr>
                <w:rFonts w:ascii="arial" w:hAnsi="arial"/>
                <w:sz w:val="20"/>
              </w:rPr>
              <w:t xml:space="preserve">” the proposal to approve, on a non-binding advisory basis, the executive compensation of the Company’s named executive officers as disclosed in this Proxy Statement. </w:t>
            </w:r>
          </w:p>
        </w:tc>
      </w:tr>
    </w:tbl>
    <w:p>
      <w:pPr>
        <w:pStyle w:val="TextBody"/>
        <w:bidi w:val="0"/>
        <w:spacing w:before="0" w:after="0"/>
        <w:jc w:val="left"/>
        <w:rPr/>
      </w:pPr>
      <w:r>
        <w:rPr/>
        <w:t> </w:t>
      </w:r>
    </w:p>
    <w:tbl>
      <w:tblPr>
        <w:tblW w:w="4733" w:type="dxa"/>
        <w:jc w:val="left"/>
        <w:tblInd w:w="0" w:type="dxa"/>
        <w:tblLayout w:type="fixed"/>
        <w:tblCellMar>
          <w:top w:w="0" w:type="dxa"/>
          <w:left w:w="0" w:type="dxa"/>
          <w:bottom w:w="0" w:type="dxa"/>
          <w:right w:w="0" w:type="dxa"/>
        </w:tblCellMar>
      </w:tblPr>
      <w:tblGrid>
        <w:gridCol w:w="140"/>
        <w:gridCol w:w="60"/>
        <w:gridCol w:w="2638"/>
        <w:gridCol w:w="60"/>
        <w:gridCol w:w="1835"/>
      </w:tblGrid>
      <w:tr>
        <w:trPr/>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140"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2</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Proxy Statement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004876"/>
          <w:sz w:val="20"/>
        </w:rPr>
      </w:pPr>
      <w:r>
        <w:rPr>
          <w:rFonts w:ascii="arial" w:hAnsi="arial"/>
          <w:b/>
          <w:color w:val="004876"/>
          <w:sz w:val="20"/>
        </w:rPr>
        <w:t xml:space="preserve">What vote is required to approve each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02"/>
        <w:gridCol w:w="120"/>
        <w:gridCol w:w="3208"/>
        <w:gridCol w:w="120"/>
        <w:gridCol w:w="3455"/>
      </w:tblGrid>
      <w:tr>
        <w:trPr/>
        <w:tc>
          <w:tcPr>
            <w:tcW w:w="33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3302"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3328"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3575" w:type="dxa"/>
            <w:gridSpan w:val="2"/>
            <w:tcBorders>
              <w:top w:val="single" w:sz="16" w:space="0" w:color="004876"/>
              <w:right w:val="single" w:sz="6" w:space="0" w:color="004876"/>
            </w:tcBorders>
            <w:shd w:fill="004876" w:val="clear"/>
            <w:tcMar>
              <w:top w:w="28" w:type="dxa"/>
              <w:right w:w="28" w:type="dxa"/>
            </w:tcMar>
            <w:vAlign w:val="center"/>
          </w:tcPr>
          <w:p>
            <w:pPr>
              <w:pStyle w:val="TableContents"/>
              <w:bidi w:val="0"/>
              <w:spacing w:before="0" w:after="283"/>
              <w:jc w:val="left"/>
              <w:rPr/>
            </w:pPr>
            <w:r>
              <w:rPr/>
              <w:t> </w:t>
            </w:r>
          </w:p>
        </w:tc>
      </w:tr>
      <w:tr>
        <w:trPr/>
        <w:tc>
          <w:tcPr>
            <w:tcW w:w="3302" w:type="dxa"/>
            <w:tcBorders>
              <w:bottom w:val="single" w:sz="16" w:space="0" w:color="004876"/>
            </w:tcBorders>
            <w:shd w:fill="004876" w:val="clear"/>
            <w:tcMar>
              <w:bottom w:w="28" w:type="dxa"/>
            </w:tcMar>
            <w:vAlign w:val="center"/>
          </w:tcPr>
          <w:p>
            <w:pPr>
              <w:pStyle w:val="TableContents"/>
              <w:bidi w:val="0"/>
              <w:spacing w:before="0" w:after="0"/>
              <w:jc w:val="left"/>
              <w:rPr>
                <w:rFonts w:ascii="arial" w:hAnsi="arial"/>
                <w:b/>
                <w:color w:val="FFFFFF"/>
                <w:sz w:val="20"/>
              </w:rPr>
            </w:pPr>
            <w:r>
              <w:rPr>
                <w:rFonts w:ascii="arial" w:hAnsi="arial"/>
                <w:b/>
                <w:color w:val="FFFFFF"/>
                <w:sz w:val="20"/>
              </w:rPr>
              <w:t>Proposal</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3208" w:type="dxa"/>
            <w:tcBorders>
              <w:bottom w:val="single" w:sz="16" w:space="0" w:color="004876"/>
            </w:tcBorders>
            <w:shd w:fill="004876" w:val="clear"/>
            <w:tcMar>
              <w:bottom w:w="28" w:type="dxa"/>
            </w:tcMar>
            <w:vAlign w:val="center"/>
          </w:tcPr>
          <w:p>
            <w:pPr>
              <w:pStyle w:val="TableContents"/>
              <w:bidi w:val="0"/>
              <w:spacing w:before="0" w:after="283"/>
              <w:jc w:val="center"/>
              <w:rPr>
                <w:b/>
                <w:color w:val="FFFFFF"/>
              </w:rPr>
            </w:pPr>
            <w:r>
              <w:rPr>
                <w:b/>
                <w:color w:val="FFFFFF"/>
              </w:rPr>
              <w:t>Vote Required for Approval</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3455" w:type="dxa"/>
            <w:tcBorders>
              <w:bottom w:val="single" w:sz="16" w:space="0" w:color="004876"/>
              <w:right w:val="single" w:sz="6" w:space="0" w:color="004876"/>
            </w:tcBorders>
            <w:shd w:fill="004876" w:val="clear"/>
            <w:tcMar>
              <w:bottom w:w="28" w:type="dxa"/>
              <w:right w:w="40" w:type="dxa"/>
            </w:tcMar>
            <w:vAlign w:val="center"/>
          </w:tcPr>
          <w:p>
            <w:pPr>
              <w:pStyle w:val="TableContents"/>
              <w:bidi w:val="0"/>
              <w:spacing w:before="0" w:after="283"/>
              <w:jc w:val="center"/>
              <w:rPr>
                <w:b/>
                <w:color w:val="FFFFFF"/>
              </w:rPr>
            </w:pPr>
            <w:r>
              <w:rPr>
                <w:b/>
                <w:color w:val="FFFFFF"/>
              </w:rPr>
              <w:t>Effect of Abstentions, Withhold Votes and</w:t>
              <w:br/>
              <w:t>Broker Non-Votes</w:t>
            </w:r>
          </w:p>
        </w:tc>
      </w:tr>
      <w:tr>
        <w:trPr/>
        <w:tc>
          <w:tcPr>
            <w:tcW w:w="3302" w:type="dxa"/>
            <w:tcBorders/>
            <w:shd w:fill="F4F0DC" w:val="clear"/>
            <w:vAlign w:val="center"/>
          </w:tcPr>
          <w:p>
            <w:pPr>
              <w:pStyle w:val="TableContents"/>
              <w:bidi w:val="0"/>
              <w:spacing w:before="0" w:after="283"/>
              <w:jc w:val="left"/>
              <w:rPr>
                <w:sz w:val="4"/>
                <w:szCs w:val="4"/>
              </w:rPr>
            </w:pPr>
            <w:r>
              <w:rPr>
                <w:sz w:val="4"/>
                <w:szCs w:val="4"/>
              </w:rPr>
            </w:r>
          </w:p>
        </w:tc>
        <w:tc>
          <w:tcPr>
            <w:tcW w:w="3328" w:type="dxa"/>
            <w:gridSpan w:val="2"/>
            <w:tcBorders/>
            <w:shd w:fill="F4F0DC" w:val="clear"/>
            <w:vAlign w:val="center"/>
          </w:tcPr>
          <w:p>
            <w:pPr>
              <w:pStyle w:val="TableContents"/>
              <w:bidi w:val="0"/>
              <w:spacing w:before="0" w:after="283"/>
              <w:jc w:val="left"/>
              <w:rPr>
                <w:sz w:val="4"/>
                <w:szCs w:val="4"/>
              </w:rPr>
            </w:pPr>
            <w:r>
              <w:rPr>
                <w:sz w:val="4"/>
                <w:szCs w:val="4"/>
              </w:rPr>
            </w:r>
          </w:p>
        </w:tc>
        <w:tc>
          <w:tcPr>
            <w:tcW w:w="3575" w:type="dxa"/>
            <w:gridSpan w:val="2"/>
            <w:tcBorders/>
            <w:shd w:fill="F4F0DC" w:val="clear"/>
            <w:vAlign w:val="center"/>
          </w:tcPr>
          <w:p>
            <w:pPr>
              <w:pStyle w:val="TableContents"/>
              <w:bidi w:val="0"/>
              <w:spacing w:before="0" w:after="283"/>
              <w:jc w:val="left"/>
              <w:rPr>
                <w:sz w:val="4"/>
                <w:szCs w:val="4"/>
              </w:rPr>
            </w:pPr>
            <w:r>
              <w:rPr>
                <w:sz w:val="4"/>
                <w:szCs w:val="4"/>
              </w:rPr>
            </w:r>
          </w:p>
        </w:tc>
      </w:tr>
      <w:tr>
        <w:trPr/>
        <w:tc>
          <w:tcPr>
            <w:tcW w:w="3302"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b/>
                <w:color w:val="004876"/>
                <w:sz w:val="20"/>
              </w:rPr>
            </w:pPr>
            <w:r>
              <w:rPr>
                <w:rFonts w:ascii="arial" w:hAnsi="arial"/>
                <w:b/>
                <w:color w:val="004876"/>
                <w:sz w:val="20"/>
              </w:rPr>
              <w:t>Proposal No. 1</w:t>
            </w:r>
          </w:p>
          <w:p>
            <w:pPr>
              <w:pStyle w:val="TableContents"/>
              <w:bidi w:val="0"/>
              <w:spacing w:before="0" w:after="0"/>
              <w:jc w:val="left"/>
              <w:rPr/>
            </w:pPr>
            <w:r>
              <w:rPr/>
              <w:t> </w:t>
            </w:r>
          </w:p>
          <w:p>
            <w:pPr>
              <w:pStyle w:val="TableContents"/>
              <w:bidi w:val="0"/>
              <w:spacing w:before="0" w:after="20"/>
              <w:jc w:val="left"/>
              <w:rPr>
                <w:rFonts w:ascii="arial" w:hAnsi="arial"/>
                <w:b/>
                <w:i/>
                <w:color w:val="004876"/>
                <w:sz w:val="20"/>
              </w:rPr>
            </w:pPr>
            <w:r>
              <w:rPr>
                <w:rFonts w:ascii="arial" w:hAnsi="arial"/>
                <w:b/>
                <w:i/>
                <w:color w:val="004876"/>
                <w:sz w:val="20"/>
              </w:rPr>
              <w:t>Election of Directors</w:t>
            </w:r>
          </w:p>
        </w:tc>
        <w:tc>
          <w:tcPr>
            <w:tcW w:w="12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3208" w:type="dxa"/>
            <w:tcBorders>
              <w:bottom w:val="single" w:sz="6" w:space="0" w:color="B99C16"/>
            </w:tcBorders>
            <w:shd w:fill="F4F0DC" w:val="clear"/>
            <w:tcMar>
              <w:bottom w:w="80" w:type="dxa"/>
            </w:tcMar>
            <w:vAlign w:val="center"/>
          </w:tcPr>
          <w:p>
            <w:pPr>
              <w:pStyle w:val="TableContents"/>
              <w:bidi w:val="0"/>
              <w:spacing w:before="0" w:after="283"/>
              <w:jc w:val="left"/>
              <w:rPr/>
            </w:pPr>
            <w:r>
              <w:rPr/>
              <w:t>Directors will be elected by a plurality of the votes cast at the Annual Meeting. The individuals nominated for election to the Board at the Annual Meeting receiving the highest number of “FOR” votes will be elected.</w:t>
            </w:r>
          </w:p>
        </w:tc>
        <w:tc>
          <w:tcPr>
            <w:tcW w:w="12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3455" w:type="dxa"/>
            <w:tcBorders>
              <w:bottom w:val="single" w:sz="6" w:space="0" w:color="B99C16"/>
            </w:tcBorders>
            <w:shd w:fill="F4F0DC" w:val="clear"/>
            <w:tcMar>
              <w:bottom w:w="80" w:type="dxa"/>
            </w:tcMar>
            <w:vAlign w:val="center"/>
          </w:tcPr>
          <w:p>
            <w:pPr>
              <w:pStyle w:val="TableContents"/>
              <w:bidi w:val="0"/>
              <w:spacing w:before="0" w:after="283"/>
              <w:jc w:val="left"/>
              <w:rPr/>
            </w:pPr>
            <w:r>
              <w:rPr/>
              <w:t>A withhold vote will have no effect on the outcome of the election of directors. Broker discretionary voting is not permitted. Broker non-votes will have no effect on the outcome of this proposal. Votes may not be cumulated.</w:t>
            </w:r>
          </w:p>
        </w:tc>
      </w:tr>
      <w:tr>
        <w:trPr/>
        <w:tc>
          <w:tcPr>
            <w:tcW w:w="3302" w:type="dxa"/>
            <w:tcBorders/>
            <w:vAlign w:val="center"/>
          </w:tcPr>
          <w:p>
            <w:pPr>
              <w:pStyle w:val="TableContents"/>
              <w:bidi w:val="0"/>
              <w:spacing w:before="0" w:after="283"/>
              <w:jc w:val="left"/>
              <w:rPr>
                <w:sz w:val="4"/>
                <w:szCs w:val="4"/>
              </w:rPr>
            </w:pPr>
            <w:r>
              <w:rPr>
                <w:sz w:val="4"/>
                <w:szCs w:val="4"/>
              </w:rPr>
            </w:r>
          </w:p>
        </w:tc>
        <w:tc>
          <w:tcPr>
            <w:tcW w:w="3328" w:type="dxa"/>
            <w:gridSpan w:val="2"/>
            <w:tcBorders/>
            <w:vAlign w:val="center"/>
          </w:tcPr>
          <w:p>
            <w:pPr>
              <w:pStyle w:val="TableContents"/>
              <w:bidi w:val="0"/>
              <w:spacing w:before="0" w:after="283"/>
              <w:jc w:val="left"/>
              <w:rPr>
                <w:sz w:val="4"/>
                <w:szCs w:val="4"/>
              </w:rPr>
            </w:pPr>
            <w:r>
              <w:rPr>
                <w:sz w:val="4"/>
                <w:szCs w:val="4"/>
              </w:rPr>
            </w:r>
          </w:p>
        </w:tc>
        <w:tc>
          <w:tcPr>
            <w:tcW w:w="3575" w:type="dxa"/>
            <w:gridSpan w:val="2"/>
            <w:tcBorders/>
            <w:vAlign w:val="center"/>
          </w:tcPr>
          <w:p>
            <w:pPr>
              <w:pStyle w:val="TableContents"/>
              <w:bidi w:val="0"/>
              <w:spacing w:before="0" w:after="283"/>
              <w:jc w:val="left"/>
              <w:rPr>
                <w:sz w:val="4"/>
                <w:szCs w:val="4"/>
              </w:rPr>
            </w:pPr>
            <w:r>
              <w:rPr>
                <w:sz w:val="4"/>
                <w:szCs w:val="4"/>
              </w:rPr>
            </w:r>
          </w:p>
        </w:tc>
      </w:tr>
      <w:tr>
        <w:trPr/>
        <w:tc>
          <w:tcPr>
            <w:tcW w:w="3302" w:type="dxa"/>
            <w:tcBorders>
              <w:bottom w:val="single" w:sz="6" w:space="0" w:color="B99C16"/>
            </w:tcBorders>
            <w:tcMar>
              <w:bottom w:w="80" w:type="dxa"/>
            </w:tcMar>
            <w:vAlign w:val="center"/>
          </w:tcPr>
          <w:p>
            <w:pPr>
              <w:pStyle w:val="TableContents"/>
              <w:bidi w:val="0"/>
              <w:spacing w:before="0" w:after="0"/>
              <w:jc w:val="left"/>
              <w:rPr>
                <w:rFonts w:ascii="arial" w:hAnsi="arial"/>
                <w:b/>
                <w:color w:val="004876"/>
                <w:sz w:val="20"/>
              </w:rPr>
            </w:pPr>
            <w:r>
              <w:rPr>
                <w:rFonts w:ascii="arial" w:hAnsi="arial"/>
                <w:b/>
                <w:color w:val="004876"/>
                <w:sz w:val="20"/>
              </w:rPr>
              <w:t>Proposal No. 2</w:t>
            </w:r>
          </w:p>
          <w:p>
            <w:pPr>
              <w:pStyle w:val="TableContents"/>
              <w:bidi w:val="0"/>
              <w:spacing w:before="0" w:after="0"/>
              <w:jc w:val="left"/>
              <w:rPr/>
            </w:pPr>
            <w:r>
              <w:rPr/>
              <w:t> </w:t>
            </w:r>
          </w:p>
          <w:p>
            <w:pPr>
              <w:pStyle w:val="TableContents"/>
              <w:bidi w:val="0"/>
              <w:spacing w:before="0" w:after="20"/>
              <w:jc w:val="left"/>
              <w:rPr>
                <w:rFonts w:ascii="arial" w:hAnsi="arial"/>
                <w:b/>
                <w:i/>
                <w:color w:val="004876"/>
                <w:sz w:val="20"/>
              </w:rPr>
            </w:pPr>
            <w:r>
              <w:rPr>
                <w:rFonts w:ascii="arial" w:hAnsi="arial"/>
                <w:b/>
                <w:i/>
                <w:color w:val="004876"/>
                <w:sz w:val="20"/>
              </w:rPr>
              <w:t>Ratification of PricewaterhouseCoopers LLP</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3208" w:type="dxa"/>
            <w:tcBorders>
              <w:bottom w:val="single" w:sz="6" w:space="0" w:color="B99C16"/>
            </w:tcBorders>
            <w:tcMar>
              <w:bottom w:w="80" w:type="dxa"/>
            </w:tcMar>
            <w:vAlign w:val="center"/>
          </w:tcPr>
          <w:p>
            <w:pPr>
              <w:pStyle w:val="TableContents"/>
              <w:bidi w:val="0"/>
              <w:spacing w:before="0" w:after="283"/>
              <w:jc w:val="left"/>
              <w:rPr/>
            </w:pPr>
            <w:r>
              <w:rPr/>
              <w:t>The affirmative vote of the holders of a majority of the voting power of the Company’s capital stock present virtually in person or represented by proxy at the Annual Meeting and entitled to vote on such matter.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3455" w:type="dxa"/>
            <w:tcBorders>
              <w:bottom w:val="single" w:sz="6" w:space="0" w:color="B99C16"/>
            </w:tcBorders>
            <w:tcMar>
              <w:bottom w:w="80" w:type="dxa"/>
            </w:tcMar>
            <w:vAlign w:val="center"/>
          </w:tcPr>
          <w:p>
            <w:pPr>
              <w:pStyle w:val="TableContents"/>
              <w:bidi w:val="0"/>
              <w:spacing w:before="0" w:after="283"/>
              <w:jc w:val="left"/>
              <w:rPr/>
            </w:pPr>
            <w:r>
              <w:rPr/>
              <w:t>An abstention has the same effect as a vote “against” this proposal. Broker discretionary voting is permitted. Because broker discretionary voting is permitted, there will be no broker non-votes on this proposal.</w:t>
            </w:r>
          </w:p>
        </w:tc>
      </w:tr>
      <w:tr>
        <w:trPr/>
        <w:tc>
          <w:tcPr>
            <w:tcW w:w="3302" w:type="dxa"/>
            <w:tcBorders/>
            <w:shd w:fill="F4F0DC" w:val="clear"/>
            <w:vAlign w:val="center"/>
          </w:tcPr>
          <w:p>
            <w:pPr>
              <w:pStyle w:val="TableContents"/>
              <w:bidi w:val="0"/>
              <w:spacing w:before="0" w:after="283"/>
              <w:jc w:val="left"/>
              <w:rPr>
                <w:sz w:val="4"/>
                <w:szCs w:val="4"/>
              </w:rPr>
            </w:pPr>
            <w:r>
              <w:rPr>
                <w:sz w:val="4"/>
                <w:szCs w:val="4"/>
              </w:rPr>
            </w:r>
          </w:p>
        </w:tc>
        <w:tc>
          <w:tcPr>
            <w:tcW w:w="3328" w:type="dxa"/>
            <w:gridSpan w:val="2"/>
            <w:tcBorders/>
            <w:shd w:fill="F4F0DC" w:val="clear"/>
            <w:vAlign w:val="center"/>
          </w:tcPr>
          <w:p>
            <w:pPr>
              <w:pStyle w:val="TableContents"/>
              <w:bidi w:val="0"/>
              <w:spacing w:before="0" w:after="283"/>
              <w:jc w:val="left"/>
              <w:rPr>
                <w:sz w:val="4"/>
                <w:szCs w:val="4"/>
              </w:rPr>
            </w:pPr>
            <w:r>
              <w:rPr>
                <w:sz w:val="4"/>
                <w:szCs w:val="4"/>
              </w:rPr>
            </w:r>
          </w:p>
        </w:tc>
        <w:tc>
          <w:tcPr>
            <w:tcW w:w="3575" w:type="dxa"/>
            <w:gridSpan w:val="2"/>
            <w:tcBorders/>
            <w:shd w:fill="F4F0DC" w:val="clear"/>
            <w:vAlign w:val="center"/>
          </w:tcPr>
          <w:p>
            <w:pPr>
              <w:pStyle w:val="TableContents"/>
              <w:bidi w:val="0"/>
              <w:spacing w:before="0" w:after="283"/>
              <w:jc w:val="left"/>
              <w:rPr>
                <w:sz w:val="4"/>
                <w:szCs w:val="4"/>
              </w:rPr>
            </w:pPr>
            <w:r>
              <w:rPr>
                <w:sz w:val="4"/>
                <w:szCs w:val="4"/>
              </w:rPr>
            </w:r>
          </w:p>
        </w:tc>
      </w:tr>
      <w:tr>
        <w:trPr/>
        <w:tc>
          <w:tcPr>
            <w:tcW w:w="3302"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b/>
                <w:color w:val="004876"/>
                <w:sz w:val="20"/>
              </w:rPr>
            </w:pPr>
            <w:r>
              <w:rPr>
                <w:rFonts w:ascii="arial" w:hAnsi="arial"/>
                <w:b/>
                <w:color w:val="004876"/>
                <w:sz w:val="20"/>
              </w:rPr>
              <w:t>Proposal No. 3</w:t>
            </w:r>
          </w:p>
          <w:p>
            <w:pPr>
              <w:pStyle w:val="TableContents"/>
              <w:bidi w:val="0"/>
              <w:spacing w:before="0" w:after="0"/>
              <w:jc w:val="left"/>
              <w:rPr/>
            </w:pPr>
            <w:r>
              <w:rPr/>
              <w:t> </w:t>
            </w:r>
          </w:p>
          <w:p>
            <w:pPr>
              <w:pStyle w:val="TableContents"/>
              <w:bidi w:val="0"/>
              <w:spacing w:before="0" w:after="20"/>
              <w:jc w:val="left"/>
              <w:rPr>
                <w:rFonts w:ascii="arial" w:hAnsi="arial"/>
                <w:b/>
                <w:i/>
                <w:color w:val="004876"/>
                <w:sz w:val="20"/>
              </w:rPr>
            </w:pPr>
            <w:r>
              <w:rPr>
                <w:rFonts w:ascii="arial" w:hAnsi="arial"/>
                <w:b/>
                <w:i/>
                <w:color w:val="004876"/>
                <w:sz w:val="20"/>
              </w:rPr>
              <w:t>Approval, on a non-binding advisory basis, of the executive compensation of the Company’s named executive officers</w:t>
            </w:r>
          </w:p>
        </w:tc>
        <w:tc>
          <w:tcPr>
            <w:tcW w:w="12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3208" w:type="dxa"/>
            <w:tcBorders>
              <w:bottom w:val="single" w:sz="6" w:space="0" w:color="B99C16"/>
            </w:tcBorders>
            <w:shd w:fill="F4F0DC" w:val="clear"/>
            <w:tcMar>
              <w:bottom w:w="80" w:type="dxa"/>
            </w:tcMar>
            <w:vAlign w:val="center"/>
          </w:tcPr>
          <w:p>
            <w:pPr>
              <w:pStyle w:val="TableContents"/>
              <w:bidi w:val="0"/>
              <w:spacing w:before="0" w:after="283"/>
              <w:jc w:val="left"/>
              <w:rPr/>
            </w:pPr>
            <w:r>
              <w:rPr/>
              <w:t>The affirmative vote of the holders of a majority of the voting power of the Company’s capital stock present virtually in person or represented by proxy at the Annual Meeting and entitled to vote on such matter.</w:t>
            </w:r>
          </w:p>
        </w:tc>
        <w:tc>
          <w:tcPr>
            <w:tcW w:w="12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3455" w:type="dxa"/>
            <w:tcBorders>
              <w:bottom w:val="single" w:sz="6" w:space="0" w:color="B99C16"/>
            </w:tcBorders>
            <w:shd w:fill="F4F0DC" w:val="clear"/>
            <w:tcMar>
              <w:bottom w:w="80" w:type="dxa"/>
            </w:tcMar>
            <w:vAlign w:val="center"/>
          </w:tcPr>
          <w:p>
            <w:pPr>
              <w:pStyle w:val="TableContents"/>
              <w:bidi w:val="0"/>
              <w:spacing w:before="0" w:after="283"/>
              <w:jc w:val="left"/>
              <w:rPr/>
            </w:pPr>
            <w:r>
              <w:rPr/>
              <w:t>An abstention has the same effect as a vote “against” this proposal. Broker discretionary voting is not permitted. Broker non-votes will have no effect on the outcome of this proposal.</w:t>
            </w:r>
          </w:p>
        </w:tc>
      </w:tr>
    </w:tbl>
    <w:p>
      <w:pPr>
        <w:pStyle w:val="TextBody"/>
        <w:bidi w:val="0"/>
        <w:spacing w:before="360" w:after="0"/>
        <w:jc w:val="left"/>
        <w:rPr>
          <w:rFonts w:ascii="arial" w:hAnsi="arial"/>
          <w:b/>
          <w:color w:val="004876"/>
          <w:sz w:val="20"/>
        </w:rPr>
      </w:pPr>
      <w:r>
        <w:rPr>
          <w:rFonts w:ascii="arial" w:hAnsi="arial"/>
          <w:b/>
          <w:color w:val="004876"/>
          <w:sz w:val="20"/>
        </w:rPr>
        <w:t xml:space="preserve">How do I vote? </w:t>
      </w:r>
    </w:p>
    <w:p>
      <w:pPr>
        <w:pStyle w:val="TextBody"/>
        <w:bidi w:val="0"/>
        <w:spacing w:before="120" w:after="0"/>
        <w:jc w:val="left"/>
        <w:rPr>
          <w:rFonts w:ascii="arial" w:hAnsi="arial"/>
          <w:sz w:val="20"/>
        </w:rPr>
      </w:pPr>
      <w:r>
        <w:rPr>
          <w:rFonts w:ascii="arial" w:hAnsi="arial"/>
          <w:sz w:val="20"/>
        </w:rPr>
        <w:t xml:space="preserve">You may cast your vote in one of four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 xml:space="preserve">By Submitting a Proxy by Internet. </w:t>
            </w:r>
            <w:r>
              <w:rPr>
                <w:rFonts w:ascii="arial" w:hAnsi="arial"/>
                <w:sz w:val="20"/>
              </w:rPr>
              <w:t xml:space="preserve">Go to the following website: </w:t>
            </w:r>
            <w:r>
              <w:rPr>
                <w:rFonts w:ascii="arial" w:hAnsi="arial"/>
                <w:i/>
                <w:sz w:val="20"/>
                <w:u w:val="single"/>
              </w:rPr>
              <w:t>www.proxypush.com/CHDN</w:t>
            </w:r>
            <w:r>
              <w:rPr>
                <w:rFonts w:ascii="arial" w:hAnsi="arial"/>
                <w:sz w:val="20"/>
              </w:rPr>
              <w:t xml:space="preserve">. You may submit a proxy by Internet 24 hours a day. To be valid, your proxy by Internet must be received by the time of the Annual Meeting. When you access the website, follow the instructions to create an electronic voting instruction 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By Submitting a Proxy by Telephone.</w:t>
            </w:r>
            <w:r>
              <w:rPr>
                <w:rFonts w:ascii="arial" w:hAnsi="arial"/>
                <w:sz w:val="20"/>
              </w:rPr>
              <w:t xml:space="preserve"> To submit a proxy using the telephone, call 1-866-284-6863 any time on a touch-tone telephone. There is NO CHARGE to you for the call in the United States or Canada. International calling charges apply outside the United States and Canada. You may submit a proxy by telephone 24 hours a day, 7 days a week. Follow the simple prompts and instructions provided by the recorded message. To be valid, your proxy must be received by the time of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By Submitting a Proxy by Mail.</w:t>
            </w:r>
            <w:r>
              <w:rPr>
                <w:rFonts w:ascii="arial" w:hAnsi="arial"/>
                <w:sz w:val="20"/>
              </w:rPr>
              <w:t xml:space="preserve"> If you have requested and received a proxy card by mail, mark your proxy card, sign and date it, and return it in the prepaid envelope that was provided or return it to: Proxy Tabulator for Churchill Downs Incorporated, P.O. Box 8016, Cary, North Carolina 27512-9903. To be valid, your proxy must be received by April 20,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 xml:space="preserve">During the Annual Meeting. </w:t>
            </w:r>
            <w:r>
              <w:rPr>
                <w:rFonts w:ascii="arial" w:hAnsi="arial"/>
                <w:sz w:val="20"/>
              </w:rPr>
              <w:t xml:space="preserve">To vote during the live webcast of the Annual Meeting, you must first register at www.proxydocs.com/CHDN. Upon completing your registration, you will receive further instructions via email, including your unique link that will allow you access to the Annual Meeting and to submit questions prior to the Annual Meeting. Please be sure to follow instructions found on your proxy card and/or voting authorization form and subsequent instructions that will be delivered to you via email. Shareholders will be able to attend the Annual Meeting platform with the webcast beginning at 8:45 a.m. (Eastern Time) on April 21, 2026 pursuant to the unique access instructions they receive following their registration at www.proxydocs.com/CHDN. </w:t>
            </w:r>
          </w:p>
        </w:tc>
      </w:tr>
    </w:tbl>
    <w:p>
      <w:pPr>
        <w:pStyle w:val="TextBody"/>
        <w:bidi w:val="0"/>
        <w:spacing w:before="360" w:after="0"/>
        <w:jc w:val="left"/>
        <w:rPr>
          <w:rFonts w:ascii="arial" w:hAnsi="arial"/>
          <w:b/>
          <w:color w:val="004876"/>
          <w:sz w:val="20"/>
        </w:rPr>
      </w:pPr>
      <w:r>
        <w:rPr>
          <w:rFonts w:ascii="arial" w:hAnsi="arial"/>
          <w:b/>
          <w:color w:val="004876"/>
          <w:sz w:val="20"/>
        </w:rPr>
        <w:t xml:space="preserve">How can I revoke my proxy or substitute a new proxy or change my vote? </w:t>
      </w:r>
    </w:p>
    <w:p>
      <w:pPr>
        <w:pStyle w:val="TextBody"/>
        <w:bidi w:val="0"/>
        <w:spacing w:before="120" w:after="0"/>
        <w:jc w:val="left"/>
        <w:rPr>
          <w:rFonts w:ascii="arial" w:hAnsi="arial"/>
          <w:sz w:val="20"/>
        </w:rPr>
      </w:pPr>
      <w:r>
        <w:rPr>
          <w:rFonts w:ascii="arial" w:hAnsi="arial"/>
          <w:sz w:val="20"/>
        </w:rPr>
        <w:t xml:space="preserve">You can revoke your proxy or substitute a new proxy by use of any of the following means: </w:t>
      </w:r>
    </w:p>
    <w:p>
      <w:pPr>
        <w:pStyle w:val="TextBody"/>
        <w:bidi w:val="0"/>
        <w:spacing w:before="240" w:after="0"/>
        <w:jc w:val="left"/>
        <w:rPr>
          <w:rFonts w:ascii="arial" w:hAnsi="arial"/>
          <w:b/>
          <w:sz w:val="20"/>
        </w:rPr>
      </w:pPr>
      <w:r>
        <w:rPr>
          <w:rFonts w:ascii="arial" w:hAnsi="arial"/>
          <w:b/>
          <w:sz w:val="20"/>
        </w:rPr>
        <w:t xml:space="preserve">For a Proxy Submitted by Internet or Telephone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Submitting in a timely manner a new proxy through the Internet or by telephone that is received prior to the time of the Annual Meeting;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185"/>
        <w:gridCol w:w="8405"/>
      </w:tblGrid>
      <w:tr>
        <w:trPr/>
        <w:tc>
          <w:tcPr>
            <w:tcW w:w="185" w:type="dxa"/>
            <w:tcBorders/>
            <w:vAlign w:val="center"/>
          </w:tcPr>
          <w:p>
            <w:pPr>
              <w:pStyle w:val="TableContents"/>
              <w:bidi w:val="0"/>
              <w:spacing w:before="0" w:after="283"/>
              <w:jc w:val="left"/>
              <w:rPr>
                <w:color w:val="004876"/>
              </w:rPr>
            </w:pPr>
            <w:r>
              <w:rPr>
                <w:color w:val="004876"/>
              </w:rPr>
              <w:t>●</w:t>
            </w:r>
          </w:p>
        </w:tc>
        <w:tc>
          <w:tcPr>
            <w:tcW w:w="8405" w:type="dxa"/>
            <w:tcBorders/>
            <w:vAlign w:val="center"/>
          </w:tcPr>
          <w:p>
            <w:pPr>
              <w:pStyle w:val="TableContents"/>
              <w:bidi w:val="0"/>
              <w:spacing w:before="0" w:after="0"/>
              <w:jc w:val="left"/>
              <w:rPr>
                <w:rFonts w:ascii="arial" w:hAnsi="arial"/>
                <w:sz w:val="20"/>
              </w:rPr>
            </w:pPr>
            <w:r>
              <w:rPr>
                <w:rFonts w:ascii="arial" w:hAnsi="arial"/>
                <w:sz w:val="20"/>
              </w:rPr>
              <w:t xml:space="preserve">Requesting, executing and mailing a later-dated proxy card that is received by April 20, 2026; or </w:t>
            </w:r>
          </w:p>
        </w:tc>
      </w:tr>
    </w:tbl>
    <w:p>
      <w:pPr>
        <w:pStyle w:val="TextBody"/>
        <w:bidi w:val="0"/>
        <w:spacing w:before="0" w:after="0"/>
        <w:jc w:val="left"/>
        <w:rPr/>
      </w:pPr>
      <w:r>
        <w:rPr/>
        <w:t> </w:t>
      </w:r>
    </w:p>
    <w:tbl>
      <w:tblPr>
        <w:tblW w:w="4733" w:type="dxa"/>
        <w:jc w:val="left"/>
        <w:tblInd w:w="0" w:type="dxa"/>
        <w:tblLayout w:type="fixed"/>
        <w:tblCellMar>
          <w:top w:w="0" w:type="dxa"/>
          <w:left w:w="0" w:type="dxa"/>
          <w:bottom w:w="0" w:type="dxa"/>
          <w:right w:w="0" w:type="dxa"/>
        </w:tblCellMar>
      </w:tblPr>
      <w:tblGrid>
        <w:gridCol w:w="1835"/>
        <w:gridCol w:w="60"/>
        <w:gridCol w:w="2638"/>
        <w:gridCol w:w="60"/>
        <w:gridCol w:w="140"/>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Proxy Statement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185"/>
        <w:gridCol w:w="3620"/>
      </w:tblGrid>
      <w:tr>
        <w:trPr/>
        <w:tc>
          <w:tcPr>
            <w:tcW w:w="185" w:type="dxa"/>
            <w:tcBorders/>
            <w:vAlign w:val="center"/>
          </w:tcPr>
          <w:p>
            <w:pPr>
              <w:pStyle w:val="TableContents"/>
              <w:bidi w:val="0"/>
              <w:spacing w:before="0" w:after="283"/>
              <w:jc w:val="left"/>
              <w:rPr>
                <w:color w:val="004876"/>
              </w:rPr>
            </w:pPr>
            <w:r>
              <w:rPr>
                <w:color w:val="004876"/>
              </w:rPr>
              <w:t>●</w:t>
            </w:r>
          </w:p>
        </w:tc>
        <w:tc>
          <w:tcPr>
            <w:tcW w:w="3620" w:type="dxa"/>
            <w:tcBorders/>
            <w:vAlign w:val="center"/>
          </w:tcPr>
          <w:p>
            <w:pPr>
              <w:pStyle w:val="TableContents"/>
              <w:bidi w:val="0"/>
              <w:spacing w:before="0" w:after="0"/>
              <w:jc w:val="left"/>
              <w:rPr>
                <w:rFonts w:ascii="arial" w:hAnsi="arial"/>
                <w:sz w:val="20"/>
              </w:rPr>
            </w:pPr>
            <w:r>
              <w:rPr>
                <w:rFonts w:ascii="arial" w:hAnsi="arial"/>
                <w:sz w:val="20"/>
              </w:rPr>
              <w:t xml:space="preserve">Voting during the virtual Annual Meeting. </w:t>
            </w:r>
          </w:p>
        </w:tc>
      </w:tr>
    </w:tbl>
    <w:p>
      <w:pPr>
        <w:pStyle w:val="TextBody"/>
        <w:bidi w:val="0"/>
        <w:spacing w:before="360" w:after="0"/>
        <w:jc w:val="left"/>
        <w:rPr>
          <w:rFonts w:ascii="arial" w:hAnsi="arial"/>
          <w:b/>
          <w:sz w:val="20"/>
        </w:rPr>
      </w:pPr>
      <w:r>
        <w:rPr>
          <w:rFonts w:ascii="arial" w:hAnsi="arial"/>
          <w:b/>
          <w:sz w:val="20"/>
        </w:rPr>
        <w:t xml:space="preserve">For a Proxy Submitted by Mail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185"/>
        <w:gridCol w:w="8405"/>
      </w:tblGrid>
      <w:tr>
        <w:trPr/>
        <w:tc>
          <w:tcPr>
            <w:tcW w:w="185" w:type="dxa"/>
            <w:tcBorders/>
            <w:vAlign w:val="center"/>
          </w:tcPr>
          <w:p>
            <w:pPr>
              <w:pStyle w:val="TableContents"/>
              <w:bidi w:val="0"/>
              <w:spacing w:before="0" w:after="283"/>
              <w:jc w:val="left"/>
              <w:rPr>
                <w:color w:val="004876"/>
              </w:rPr>
            </w:pPr>
            <w:r>
              <w:rPr>
                <w:color w:val="004876"/>
              </w:rPr>
              <w:t>●</w:t>
            </w:r>
          </w:p>
        </w:tc>
        <w:tc>
          <w:tcPr>
            <w:tcW w:w="8405" w:type="dxa"/>
            <w:tcBorders/>
            <w:vAlign w:val="center"/>
          </w:tcPr>
          <w:p>
            <w:pPr>
              <w:pStyle w:val="TableContents"/>
              <w:bidi w:val="0"/>
              <w:spacing w:before="0" w:after="0"/>
              <w:jc w:val="left"/>
              <w:rPr>
                <w:rFonts w:ascii="arial" w:hAnsi="arial"/>
                <w:sz w:val="20"/>
              </w:rPr>
            </w:pPr>
            <w:r>
              <w:rPr>
                <w:rFonts w:ascii="arial" w:hAnsi="arial"/>
                <w:sz w:val="20"/>
              </w:rPr>
              <w:t xml:space="preserve">Executing and mailing another proxy card bearing a later date that is received by April 20,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Giving written notice of revocation to CHDN’s Secretary at 600 N. Hurstbourne Parkway, Ste. 400, Louisville, Kentucky 40222 that is received by CHDN by April 20, 2026; or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185"/>
        <w:gridCol w:w="3620"/>
      </w:tblGrid>
      <w:tr>
        <w:trPr/>
        <w:tc>
          <w:tcPr>
            <w:tcW w:w="185" w:type="dxa"/>
            <w:tcBorders/>
            <w:vAlign w:val="center"/>
          </w:tcPr>
          <w:p>
            <w:pPr>
              <w:pStyle w:val="TableContents"/>
              <w:bidi w:val="0"/>
              <w:spacing w:before="0" w:after="283"/>
              <w:jc w:val="left"/>
              <w:rPr>
                <w:color w:val="004876"/>
              </w:rPr>
            </w:pPr>
            <w:r>
              <w:rPr>
                <w:color w:val="004876"/>
              </w:rPr>
              <w:t>●</w:t>
            </w:r>
          </w:p>
        </w:tc>
        <w:tc>
          <w:tcPr>
            <w:tcW w:w="3620" w:type="dxa"/>
            <w:tcBorders/>
            <w:vAlign w:val="center"/>
          </w:tcPr>
          <w:p>
            <w:pPr>
              <w:pStyle w:val="TableContents"/>
              <w:bidi w:val="0"/>
              <w:spacing w:before="0" w:after="0"/>
              <w:jc w:val="left"/>
              <w:rPr>
                <w:rFonts w:ascii="arial" w:hAnsi="arial"/>
                <w:sz w:val="20"/>
              </w:rPr>
            </w:pPr>
            <w:r>
              <w:rPr>
                <w:rFonts w:ascii="arial" w:hAnsi="arial"/>
                <w:sz w:val="20"/>
              </w:rPr>
              <w:t xml:space="preserve">Voting during the virtual Annual Meeting. </w:t>
            </w:r>
          </w:p>
        </w:tc>
      </w:tr>
    </w:tbl>
    <w:p>
      <w:pPr>
        <w:pStyle w:val="TextBody"/>
        <w:bidi w:val="0"/>
        <w:spacing w:before="360" w:after="0"/>
        <w:jc w:val="left"/>
        <w:rPr>
          <w:rFonts w:ascii="arial" w:hAnsi="arial"/>
          <w:b/>
          <w:color w:val="004876"/>
          <w:sz w:val="20"/>
        </w:rPr>
      </w:pPr>
      <w:r>
        <w:rPr>
          <w:rFonts w:ascii="arial" w:hAnsi="arial"/>
          <w:b/>
          <w:color w:val="004876"/>
          <w:sz w:val="20"/>
        </w:rPr>
        <w:t xml:space="preserve">What is a broker non-vote? </w:t>
      </w:r>
    </w:p>
    <w:p>
      <w:pPr>
        <w:pStyle w:val="TextBody"/>
        <w:bidi w:val="0"/>
        <w:spacing w:before="120" w:after="0"/>
        <w:jc w:val="left"/>
        <w:rPr>
          <w:rFonts w:ascii="arial" w:hAnsi="arial"/>
          <w:sz w:val="20"/>
        </w:rPr>
      </w:pPr>
      <w:r>
        <w:rPr>
          <w:rFonts w:ascii="arial" w:hAnsi="arial"/>
          <w:sz w:val="20"/>
        </w:rPr>
        <w:t xml:space="preserve">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PricewaterhouseCoopers LLP as the Company’s independent registered public accounting firm for fiscal year 2026. The remaining proposals to be presented at the Annual Meeting are considered non-routine. </w:t>
      </w:r>
    </w:p>
    <w:p>
      <w:pPr>
        <w:pStyle w:val="TextBody"/>
        <w:bidi w:val="0"/>
        <w:spacing w:before="240" w:after="0"/>
        <w:jc w:val="left"/>
        <w:rPr>
          <w:rFonts w:ascii="arial" w:hAnsi="arial"/>
          <w:sz w:val="20"/>
        </w:rPr>
      </w:pPr>
      <w:r>
        <w:rPr>
          <w:rFonts w:ascii="arial" w:hAnsi="arial"/>
          <w:sz w:val="20"/>
        </w:rPr>
        <w:t xml:space="preserve">A broker non-vote occurs when a broker, bank or other nominee does not vote on a non-routine matter because the beneficial owner of such shares has not provided voting instructions with regard to such matter. If a broker, bank or other nominee exercises its discretionary voting authority on the proposal to ratify the appointment of PricewaterhouseCoopers LLP as the Company’s independent registered public accounting firm for fiscal year 2026, such shares will be considered present at the Annual Meeting for purposes and broker non-votes will occur as to each of the other proposals presented at the Annual Meeting. Broker non-votes will have no impact on the voting results of the election of directors or the other proposals to be presented at the Annual Meeting. </w:t>
      </w:r>
    </w:p>
    <w:p>
      <w:pPr>
        <w:pStyle w:val="TextBody"/>
        <w:bidi w:val="0"/>
        <w:spacing w:before="360" w:after="0"/>
        <w:jc w:val="left"/>
        <w:rPr>
          <w:rFonts w:ascii="arial" w:hAnsi="arial"/>
          <w:b/>
          <w:color w:val="004876"/>
          <w:sz w:val="20"/>
        </w:rPr>
      </w:pPr>
      <w:r>
        <w:rPr>
          <w:rFonts w:ascii="arial" w:hAnsi="arial"/>
          <w:b/>
          <w:color w:val="004876"/>
          <w:sz w:val="20"/>
        </w:rPr>
        <w:t xml:space="preserve">How will my shares be voted if I return a blank proxy card or a blank voting instruction card? </w:t>
      </w:r>
    </w:p>
    <w:p>
      <w:pPr>
        <w:pStyle w:val="TextBody"/>
        <w:bidi w:val="0"/>
        <w:spacing w:before="120" w:after="0"/>
        <w:jc w:val="left"/>
        <w:rPr>
          <w:rFonts w:ascii="arial" w:hAnsi="arial"/>
          <w:sz w:val="20"/>
        </w:rPr>
      </w:pPr>
      <w:r>
        <w:rPr>
          <w:rFonts w:ascii="arial" w:hAnsi="arial"/>
          <w:sz w:val="20"/>
        </w:rPr>
        <w:t xml:space="preserve">If you are a holder of record of shares of our Common Stock and you sign and return a proxy card without giving specific voting instructions, your shares will be voted: </w:t>
      </w:r>
    </w:p>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15"/>
        <w:gridCol w:w="7760"/>
      </w:tblGrid>
      <w:tr>
        <w:trPr/>
        <w:tc>
          <w:tcPr>
            <w:tcW w:w="215" w:type="dxa"/>
            <w:tcBorders/>
            <w:vAlign w:val="center"/>
          </w:tcPr>
          <w:p>
            <w:pPr>
              <w:pStyle w:val="TableContents"/>
              <w:bidi w:val="0"/>
              <w:spacing w:before="0" w:after="283"/>
              <w:jc w:val="left"/>
              <w:rPr/>
            </w:pPr>
            <w:r>
              <w:rPr/>
              <w:t>1.</w:t>
            </w:r>
          </w:p>
        </w:tc>
        <w:tc>
          <w:tcPr>
            <w:tcW w:w="7760" w:type="dxa"/>
            <w:tcBorders/>
            <w:vAlign w:val="center"/>
          </w:tcPr>
          <w:p>
            <w:pPr>
              <w:pStyle w:val="TableContents"/>
              <w:bidi w:val="0"/>
              <w:spacing w:before="0" w:after="0"/>
              <w:jc w:val="left"/>
              <w:rPr/>
            </w:pPr>
            <w:r>
              <w:rPr/>
              <w:t>“</w:t>
            </w:r>
            <w:r>
              <w:rPr>
                <w:rFonts w:ascii="arial" w:hAnsi="arial"/>
                <w:b/>
                <w:sz w:val="20"/>
              </w:rPr>
              <w:t>FOR</w:t>
            </w:r>
            <w:r>
              <w:rPr>
                <w:rFonts w:ascii="arial" w:hAnsi="arial"/>
                <w:sz w:val="20"/>
              </w:rPr>
              <w:t xml:space="preserve">” each of the two (2) Class III director nominees identified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pPr>
            <w:r>
              <w:rPr/>
              <w:t>2.</w:t>
            </w:r>
          </w:p>
        </w:tc>
        <w:tc>
          <w:tcPr>
            <w:tcW w:w="10012" w:type="dxa"/>
            <w:tcBorders/>
            <w:vAlign w:val="center"/>
          </w:tcPr>
          <w:p>
            <w:pPr>
              <w:pStyle w:val="TableContents"/>
              <w:bidi w:val="0"/>
              <w:spacing w:before="0" w:after="0"/>
              <w:jc w:val="left"/>
              <w:rPr/>
            </w:pPr>
            <w:r>
              <w:rPr/>
              <w:t>“</w:t>
            </w:r>
            <w:r>
              <w:rPr>
                <w:rFonts w:ascii="arial" w:hAnsi="arial"/>
                <w:b/>
                <w:sz w:val="20"/>
              </w:rPr>
              <w:t>FOR</w:t>
            </w:r>
            <w:r>
              <w:rPr>
                <w:rFonts w:ascii="arial" w:hAnsi="arial"/>
                <w:sz w:val="20"/>
              </w:rPr>
              <w:t xml:space="preserve">” the proposal to ratify the appointment of PricewaterhouseCoopers LLP as the Company’s independent registered public accounting firm for fiscal year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3.</w:t>
            </w:r>
          </w:p>
        </w:tc>
        <w:tc>
          <w:tcPr>
            <w:tcW w:w="10013" w:type="dxa"/>
            <w:tcBorders/>
            <w:vAlign w:val="center"/>
          </w:tcPr>
          <w:p>
            <w:pPr>
              <w:pStyle w:val="TableContents"/>
              <w:bidi w:val="0"/>
              <w:spacing w:before="0" w:after="0"/>
              <w:jc w:val="left"/>
              <w:rPr/>
            </w:pPr>
            <w:r>
              <w:rPr/>
              <w:t>“</w:t>
            </w:r>
            <w:r>
              <w:rPr>
                <w:rFonts w:ascii="arial" w:hAnsi="arial"/>
                <w:b/>
                <w:sz w:val="20"/>
              </w:rPr>
              <w:t>FOR</w:t>
            </w:r>
            <w:r>
              <w:rPr>
                <w:rFonts w:ascii="arial" w:hAnsi="arial"/>
                <w:sz w:val="20"/>
              </w:rPr>
              <w:t xml:space="preserve">” the proposal to approve, on a non-binding advisory basis, the executive compensation of the Company’s named executive officers as disclosed in this Proxy Statement. </w:t>
            </w:r>
          </w:p>
        </w:tc>
      </w:tr>
    </w:tbl>
    <w:p>
      <w:pPr>
        <w:pStyle w:val="TextBody"/>
        <w:bidi w:val="0"/>
        <w:spacing w:before="240" w:after="0"/>
        <w:jc w:val="left"/>
        <w:rPr>
          <w:rFonts w:ascii="arial" w:hAnsi="arial"/>
          <w:sz w:val="20"/>
        </w:rPr>
      </w:pPr>
      <w:r>
        <w:rPr>
          <w:rFonts w:ascii="arial" w:hAnsi="arial"/>
          <w:sz w:val="20"/>
        </w:rPr>
        <w:t xml:space="preserve">If you hold your shares in street name via a broker, bank or other nominee and return a signed but blank voting instruction card (and do not otherwise provide the broker, bank or other nominee with voting instructions), your shares: </w:t>
      </w:r>
    </w:p>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185"/>
        <w:gridCol w:w="5750"/>
      </w:tblGrid>
      <w:tr>
        <w:trPr/>
        <w:tc>
          <w:tcPr>
            <w:tcW w:w="185" w:type="dxa"/>
            <w:tcBorders/>
            <w:vAlign w:val="center"/>
          </w:tcPr>
          <w:p>
            <w:pPr>
              <w:pStyle w:val="TableContents"/>
              <w:bidi w:val="0"/>
              <w:spacing w:before="0" w:after="283"/>
              <w:jc w:val="left"/>
              <w:rPr>
                <w:color w:val="004876"/>
              </w:rPr>
            </w:pPr>
            <w:r>
              <w:rPr>
                <w:color w:val="004876"/>
              </w:rPr>
              <w:t>●</w:t>
            </w:r>
          </w:p>
        </w:tc>
        <w:tc>
          <w:tcPr>
            <w:tcW w:w="5750" w:type="dxa"/>
            <w:tcBorders/>
            <w:vAlign w:val="center"/>
          </w:tcPr>
          <w:p>
            <w:pPr>
              <w:pStyle w:val="TableContents"/>
              <w:bidi w:val="0"/>
              <w:spacing w:before="0" w:after="0"/>
              <w:jc w:val="left"/>
              <w:rPr>
                <w:rFonts w:ascii="arial" w:hAnsi="arial"/>
                <w:sz w:val="20"/>
              </w:rPr>
            </w:pPr>
            <w:r>
              <w:rPr>
                <w:rFonts w:ascii="arial" w:hAnsi="arial"/>
                <w:sz w:val="20"/>
              </w:rPr>
              <w:t xml:space="preserve">will be counted as present for purposes of establishing a quorum;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will be voted in accordance with the broker’s, bank’s or other nominee’s discretion on “routine” matters, which includes only the proposal to ratify the appointment of PricewaterhouseCoopers LLP as the Company’s independent registered public accounting firm for fiscal year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will not be counted in connection with the election of directors, the proposal to approve, on a non-binding advisory basis, the executive compensation of the Company’s named executive officers as disclosed in this Proxy Statement, or any other non-routine matters that are properly presented at the Annual Meeting. For each of these proposals, your shares will be treated as “broker non-votes.” </w:t>
            </w:r>
          </w:p>
        </w:tc>
      </w:tr>
    </w:tbl>
    <w:p>
      <w:pPr>
        <w:pStyle w:val="TextBody"/>
        <w:bidi w:val="0"/>
        <w:spacing w:before="240" w:after="0"/>
        <w:jc w:val="left"/>
        <w:rPr>
          <w:rFonts w:ascii="arial" w:hAnsi="arial"/>
          <w:sz w:val="20"/>
        </w:rPr>
      </w:pPr>
      <w:r>
        <w:rPr>
          <w:rFonts w:ascii="arial" w:hAnsi="arial"/>
          <w:sz w:val="20"/>
        </w:rPr>
        <w:t xml:space="preserve">Our Board knows of no matter to be presented at the Annual Meeting other than the proposals described above. If any other matters properly come before the Annual Meeting upon which a vote properly may be taken, shares represented by all proxies received by us on the proxy card will be voted with respect thereto as permitted and in accordance with the judgment of the proxy holders. </w:t>
      </w:r>
    </w:p>
    <w:p>
      <w:pPr>
        <w:pStyle w:val="TextBody"/>
        <w:bidi w:val="0"/>
        <w:spacing w:before="0" w:after="0"/>
        <w:jc w:val="left"/>
        <w:rPr/>
      </w:pPr>
      <w:r>
        <w:rPr/>
        <w:t> </w:t>
      </w:r>
    </w:p>
    <w:tbl>
      <w:tblPr>
        <w:tblW w:w="4733" w:type="dxa"/>
        <w:jc w:val="left"/>
        <w:tblInd w:w="0" w:type="dxa"/>
        <w:tblLayout w:type="fixed"/>
        <w:tblCellMar>
          <w:top w:w="0" w:type="dxa"/>
          <w:left w:w="0" w:type="dxa"/>
          <w:bottom w:w="0" w:type="dxa"/>
          <w:right w:w="0" w:type="dxa"/>
        </w:tblCellMar>
      </w:tblPr>
      <w:tblGrid>
        <w:gridCol w:w="140"/>
        <w:gridCol w:w="60"/>
        <w:gridCol w:w="2638"/>
        <w:gridCol w:w="60"/>
        <w:gridCol w:w="1835"/>
      </w:tblGrid>
      <w:tr>
        <w:trPr/>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140"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4</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Proxy Statement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B99C16"/>
          <w:sz w:val="28"/>
        </w:rPr>
      </w:pPr>
      <w:bookmarkStart w:id="7" w:name="toc123994_5"/>
      <w:bookmarkEnd w:id="7"/>
      <w:r>
        <w:rPr>
          <w:rFonts w:ascii="arial" w:hAnsi="arial"/>
          <w:b/>
          <w:color w:val="B99C16"/>
          <w:sz w:val="28"/>
        </w:rPr>
        <w:t>S</w:t>
      </w:r>
      <w:r>
        <w:rPr>
          <w:rFonts w:ascii="arial" w:hAnsi="arial"/>
          <w:b/>
          <w:color w:val="B99C16"/>
          <w:sz w:val="20"/>
          <w:u w:val="single"/>
        </w:rPr>
        <w:t>ECURITY</w:t>
      </w:r>
      <w:r>
        <w:rPr>
          <w:rFonts w:ascii="arial" w:hAnsi="arial"/>
          <w:b/>
          <w:color w:val="B99C16"/>
          <w:sz w:val="28"/>
        </w:rPr>
        <w:t xml:space="preserve"> O</w:t>
      </w:r>
      <w:r>
        <w:rPr>
          <w:rFonts w:ascii="arial" w:hAnsi="arial"/>
          <w:b/>
          <w:color w:val="B99C16"/>
          <w:sz w:val="20"/>
          <w:u w:val="single"/>
        </w:rPr>
        <w:t>WNERSHIP</w:t>
      </w:r>
      <w:r>
        <w:rPr>
          <w:rFonts w:ascii="arial" w:hAnsi="arial"/>
          <w:b/>
          <w:color w:val="B99C16"/>
          <w:sz w:val="28"/>
        </w:rPr>
        <w:t xml:space="preserve"> </w:t>
      </w:r>
      <w:r>
        <w:rPr>
          <w:rFonts w:ascii="arial" w:hAnsi="arial"/>
          <w:b/>
          <w:color w:val="B99C16"/>
          <w:sz w:val="20"/>
          <w:u w:val="single"/>
        </w:rPr>
        <w:t>OF</w:t>
      </w:r>
      <w:r>
        <w:rPr>
          <w:rFonts w:ascii="arial" w:hAnsi="arial"/>
          <w:b/>
          <w:color w:val="B99C16"/>
          <w:sz w:val="28"/>
        </w:rPr>
        <w:t xml:space="preserve"> C</w:t>
      </w:r>
      <w:r>
        <w:rPr>
          <w:rFonts w:ascii="arial" w:hAnsi="arial"/>
          <w:b/>
          <w:color w:val="B99C16"/>
          <w:sz w:val="20"/>
          <w:u w:val="single"/>
        </w:rPr>
        <w:t>ERTAIN</w:t>
      </w:r>
      <w:r>
        <w:rPr>
          <w:rFonts w:ascii="arial" w:hAnsi="arial"/>
          <w:b/>
          <w:color w:val="B99C16"/>
          <w:sz w:val="28"/>
        </w:rPr>
        <w:t xml:space="preserve"> B</w:t>
      </w:r>
      <w:r>
        <w:rPr>
          <w:rFonts w:ascii="arial" w:hAnsi="arial"/>
          <w:b/>
          <w:color w:val="B99C16"/>
          <w:sz w:val="20"/>
          <w:u w:val="single"/>
        </w:rPr>
        <w:t>ENEFICIAL</w:t>
      </w:r>
      <w:r>
        <w:rPr>
          <w:rFonts w:ascii="arial" w:hAnsi="arial"/>
          <w:b/>
          <w:color w:val="B99C16"/>
          <w:sz w:val="28"/>
        </w:rPr>
        <w:t xml:space="preserve"> O</w:t>
      </w:r>
      <w:r>
        <w:rPr>
          <w:rFonts w:ascii="arial" w:hAnsi="arial"/>
          <w:b/>
          <w:color w:val="B99C16"/>
          <w:sz w:val="20"/>
          <w:u w:val="single"/>
        </w:rPr>
        <w:t>WNERS</w:t>
      </w:r>
      <w:r>
        <w:rPr>
          <w:rFonts w:ascii="arial" w:hAnsi="arial"/>
          <w:b/>
          <w:color w:val="B99C16"/>
          <w:sz w:val="28"/>
        </w:rPr>
        <w:t xml:space="preserve"> </w:t>
      </w:r>
      <w:r>
        <w:rPr>
          <w:rFonts w:ascii="arial" w:hAnsi="arial"/>
          <w:b/>
          <w:color w:val="B99C16"/>
          <w:sz w:val="20"/>
          <w:u w:val="single"/>
        </w:rPr>
        <w:t>AND</w:t>
      </w:r>
      <w:r>
        <w:rPr>
          <w:rFonts w:ascii="arial" w:hAnsi="arial"/>
          <w:b/>
          <w:color w:val="B99C16"/>
          <w:sz w:val="28"/>
        </w:rPr>
        <w:t xml:space="preserve"> M</w:t>
      </w:r>
      <w:r>
        <w:rPr>
          <w:rFonts w:ascii="arial" w:hAnsi="arial"/>
          <w:b/>
          <w:color w:val="B99C16"/>
          <w:sz w:val="20"/>
          <w:u w:val="single"/>
        </w:rPr>
        <w:t>ANAGEMENT</w:t>
      </w:r>
      <w:r>
        <w:rPr>
          <w:rFonts w:ascii="arial" w:hAnsi="arial"/>
          <w:b/>
          <w:color w:val="B99C16"/>
          <w:sz w:val="28"/>
        </w:rPr>
        <w:t xml:space="preserve"> </w:t>
      </w:r>
    </w:p>
    <w:p>
      <w:pPr>
        <w:pStyle w:val="TextBody"/>
        <w:bidi w:val="0"/>
        <w:spacing w:before="240" w:after="0"/>
        <w:jc w:val="left"/>
        <w:rPr>
          <w:rFonts w:ascii="arial" w:hAnsi="arial"/>
          <w:sz w:val="20"/>
        </w:rPr>
      </w:pPr>
      <w:r>
        <w:rPr>
          <w:rFonts w:ascii="arial" w:hAnsi="arial"/>
          <w:sz w:val="20"/>
        </w:rPr>
        <w:t xml:space="preserve">The following table sets forth information as of the Record Date (except as otherwise indicated below) regarding the beneficial ownership of the Common Stock by the only persons known by the Company to beneficially own more than five percent (5%) of the Common Stock, each director and director nominee of the Company, each named executive officer (as defined in “Executive Compensation—2025 Summary Compensation Table” herein), and the Company’s directors and executive officers as a group. Except as otherwise indicated, the persons named in the table have sole voting and investment power with respect to all of the shares of Common Stock shown as beneficially owned by them. The percentage of beneficial ownership is calculated based on 69,696,376 shares of Common Stock outstanding as of the Record Date. We are not aware of any pledge of our Common Stock or any other arrangements the operation of which may at a subsequent date result in a change in control of our Company. </w:t>
      </w:r>
    </w:p>
    <w:p>
      <w:pPr>
        <w:pStyle w:val="TextBody"/>
        <w:bidi w:val="0"/>
        <w:spacing w:before="0" w:after="0"/>
        <w:jc w:val="left"/>
        <w:rPr/>
      </w:pPr>
      <w:r>
        <w:rPr/>
        <w:t> </w:t>
      </w:r>
    </w:p>
    <w:tbl>
      <w:tblPr>
        <w:tblW w:w="10064" w:type="dxa"/>
        <w:jc w:val="left"/>
        <w:tblInd w:w="0" w:type="dxa"/>
        <w:tblLayout w:type="fixed"/>
        <w:tblCellMar>
          <w:top w:w="0" w:type="dxa"/>
          <w:left w:w="0" w:type="dxa"/>
          <w:bottom w:w="0" w:type="dxa"/>
          <w:right w:w="0" w:type="dxa"/>
        </w:tblCellMar>
      </w:tblPr>
      <w:tblGrid>
        <w:gridCol w:w="4070"/>
        <w:gridCol w:w="60"/>
        <w:gridCol w:w="129"/>
        <w:gridCol w:w="2276"/>
        <w:gridCol w:w="60"/>
        <w:gridCol w:w="60"/>
        <w:gridCol w:w="119"/>
        <w:gridCol w:w="3215"/>
        <w:gridCol w:w="7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004876" w:val="clear"/>
            <w:vAlign w:val="center"/>
          </w:tcPr>
          <w:p>
            <w:pPr>
              <w:pStyle w:val="TableContents"/>
              <w:bidi w:val="0"/>
              <w:spacing w:before="0" w:after="283"/>
              <w:jc w:val="left"/>
              <w:rPr>
                <w:sz w:val="4"/>
                <w:szCs w:val="4"/>
              </w:rPr>
            </w:pPr>
            <w:r>
              <w:rPr>
                <w:sz w:val="4"/>
                <w:szCs w:val="4"/>
              </w:rPr>
            </w:r>
          </w:p>
        </w:tc>
        <w:tc>
          <w:tcPr>
            <w:tcW w:w="2525" w:type="dxa"/>
            <w:gridSpan w:val="4"/>
            <w:tcBorders/>
            <w:shd w:fill="004876" w:val="clear"/>
            <w:vAlign w:val="center"/>
          </w:tcPr>
          <w:p>
            <w:pPr>
              <w:pStyle w:val="TableContents"/>
              <w:bidi w:val="0"/>
              <w:spacing w:before="0" w:after="283"/>
              <w:jc w:val="left"/>
              <w:rPr>
                <w:sz w:val="4"/>
                <w:szCs w:val="4"/>
              </w:rPr>
            </w:pPr>
            <w:r>
              <w:rPr>
                <w:sz w:val="4"/>
                <w:szCs w:val="4"/>
              </w:rPr>
            </w:r>
          </w:p>
        </w:tc>
        <w:tc>
          <w:tcPr>
            <w:tcW w:w="3469" w:type="dxa"/>
            <w:gridSpan w:val="4"/>
            <w:tcBorders/>
            <w:shd w:fill="004876" w:val="clear"/>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004876"/>
            </w:tcBorders>
            <w:shd w:fill="004876" w:val="clear"/>
            <w:tcMar>
              <w:bottom w:w="8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Name of Beneficial Owner</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2405" w:type="dxa"/>
            <w:gridSpan w:val="2"/>
            <w:tcBorders>
              <w:bottom w:val="single" w:sz="6" w:space="0" w:color="004876"/>
            </w:tcBorders>
            <w:shd w:fill="004876" w:val="clear"/>
            <w:tcMar>
              <w:bottom w:w="80" w:type="dxa"/>
            </w:tcMar>
            <w:vAlign w:val="center"/>
          </w:tcPr>
          <w:p>
            <w:pPr>
              <w:pStyle w:val="TableContents"/>
              <w:bidi w:val="0"/>
              <w:spacing w:before="0" w:after="283"/>
              <w:jc w:val="center"/>
              <w:rPr>
                <w:b/>
                <w:color w:val="FFFFFF"/>
              </w:rPr>
            </w:pPr>
            <w:r>
              <w:rPr>
                <w:b/>
                <w:color w:val="FFFFFF"/>
              </w:rPr>
              <w:t>Amount and Nature Of</w:t>
              <w:br/>
              <w:t>Beneficial Ownership</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3334" w:type="dxa"/>
            <w:gridSpan w:val="2"/>
            <w:tcBorders>
              <w:bottom w:val="single" w:sz="6" w:space="0" w:color="004876"/>
            </w:tcBorders>
            <w:shd w:fill="004876" w:val="clear"/>
            <w:tcMar>
              <w:bottom w:w="80" w:type="dxa"/>
            </w:tcMar>
            <w:vAlign w:val="center"/>
          </w:tcPr>
          <w:p>
            <w:pPr>
              <w:pStyle w:val="TableContents"/>
              <w:bidi w:val="0"/>
              <w:spacing w:before="0" w:after="283"/>
              <w:jc w:val="center"/>
              <w:rPr>
                <w:color w:val="FFFFFF"/>
              </w:rPr>
            </w:pPr>
            <w:r>
              <w:rPr>
                <w:color w:val="FFFFFF"/>
              </w:rPr>
              <w:t>    </w:t>
            </w:r>
            <w:r>
              <w:rPr>
                <w:b/>
                <w:color w:val="FFFFFF"/>
              </w:rPr>
              <w:t>Percent of Class   </w:t>
            </w:r>
          </w:p>
        </w:tc>
        <w:tc>
          <w:tcPr>
            <w:tcW w:w="7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The Vanguard Group, Inc. and affiliates</w:t>
            </w:r>
          </w:p>
          <w:p>
            <w:pPr>
              <w:pStyle w:val="TableContents"/>
              <w:bidi w:val="0"/>
              <w:spacing w:before="0" w:after="0"/>
              <w:jc w:val="left"/>
              <w:rPr>
                <w:rFonts w:ascii="arial" w:hAnsi="arial"/>
                <w:sz w:val="18"/>
              </w:rPr>
            </w:pPr>
            <w:r>
              <w:rPr>
                <w:rFonts w:ascii="arial" w:hAnsi="arial"/>
                <w:sz w:val="18"/>
              </w:rPr>
              <w:t>100 Vanguard Blvd.</w:t>
            </w:r>
          </w:p>
          <w:p>
            <w:pPr>
              <w:pStyle w:val="TableContents"/>
              <w:bidi w:val="0"/>
              <w:spacing w:before="0" w:after="20"/>
              <w:jc w:val="left"/>
              <w:rPr>
                <w:rFonts w:ascii="arial" w:hAnsi="arial"/>
                <w:sz w:val="18"/>
              </w:rPr>
            </w:pPr>
            <w:r>
              <w:rPr>
                <w:rFonts w:ascii="arial" w:hAnsi="arial"/>
                <w:sz w:val="18"/>
              </w:rPr>
              <w:t>Malvern, PA 19355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60" w:type="dxa"/>
            </w:tcMar>
            <w:vAlign w:val="center"/>
          </w:tcPr>
          <w:p>
            <w:pPr>
              <w:pStyle w:val="TableContents"/>
              <w:bidi w:val="0"/>
              <w:spacing w:before="0" w:after="283"/>
              <w:jc w:val="left"/>
              <w:rPr/>
            </w:pPr>
            <w:r>
              <w:rPr/>
              <w:t> </w:t>
            </w:r>
          </w:p>
        </w:tc>
        <w:tc>
          <w:tcPr>
            <w:tcW w:w="2276" w:type="dxa"/>
            <w:tcBorders>
              <w:bottom w:val="single" w:sz="6" w:space="0" w:color="B99C16"/>
            </w:tcBorders>
            <w:tcMar>
              <w:bottom w:w="60" w:type="dxa"/>
            </w:tcMar>
            <w:vAlign w:val="center"/>
          </w:tcPr>
          <w:p>
            <w:pPr>
              <w:pStyle w:val="TableContents"/>
              <w:bidi w:val="0"/>
              <w:spacing w:before="0" w:after="283"/>
              <w:jc w:val="right"/>
              <w:rPr/>
            </w:pPr>
            <w:r>
              <w:rPr/>
              <w:t>6,723,558(1)</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60" w:type="dxa"/>
            </w:tcMar>
            <w:vAlign w:val="center"/>
          </w:tcPr>
          <w:p>
            <w:pPr>
              <w:pStyle w:val="TableContents"/>
              <w:bidi w:val="0"/>
              <w:spacing w:before="0" w:after="283"/>
              <w:jc w:val="left"/>
              <w:rPr/>
            </w:pPr>
            <w:r>
              <w:rPr/>
              <w:t> </w:t>
            </w:r>
          </w:p>
        </w:tc>
        <w:tc>
          <w:tcPr>
            <w:tcW w:w="3215" w:type="dxa"/>
            <w:tcBorders>
              <w:bottom w:val="single" w:sz="6" w:space="0" w:color="B99C16"/>
            </w:tcBorders>
            <w:tcMar>
              <w:bottom w:w="60" w:type="dxa"/>
            </w:tcMar>
            <w:vAlign w:val="center"/>
          </w:tcPr>
          <w:p>
            <w:pPr>
              <w:pStyle w:val="TableContents"/>
              <w:bidi w:val="0"/>
              <w:spacing w:before="0" w:after="283"/>
              <w:jc w:val="right"/>
              <w:rPr/>
            </w:pPr>
            <w:r>
              <w:rPr/>
              <w:t>9.65       </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BlackRock, Inc. and affiliates</w:t>
            </w:r>
          </w:p>
          <w:p>
            <w:pPr>
              <w:pStyle w:val="TableContents"/>
              <w:bidi w:val="0"/>
              <w:spacing w:before="0" w:after="0"/>
              <w:jc w:val="left"/>
              <w:rPr>
                <w:rFonts w:ascii="arial" w:hAnsi="arial"/>
                <w:sz w:val="18"/>
              </w:rPr>
            </w:pPr>
            <w:r>
              <w:rPr>
                <w:rFonts w:ascii="arial" w:hAnsi="arial"/>
                <w:sz w:val="18"/>
              </w:rPr>
              <w:t>50 Hudson Yards</w:t>
            </w:r>
          </w:p>
          <w:p>
            <w:pPr>
              <w:pStyle w:val="TableContents"/>
              <w:bidi w:val="0"/>
              <w:spacing w:before="0" w:after="20"/>
              <w:jc w:val="left"/>
              <w:rPr>
                <w:rFonts w:ascii="arial" w:hAnsi="arial"/>
                <w:sz w:val="18"/>
              </w:rPr>
            </w:pPr>
            <w:r>
              <w:rPr>
                <w:rFonts w:ascii="arial" w:hAnsi="arial"/>
                <w:sz w:val="18"/>
              </w:rPr>
              <w:t>New York, NY 10001</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60" w:type="dxa"/>
            </w:tcMar>
            <w:vAlign w:val="center"/>
          </w:tcPr>
          <w:p>
            <w:pPr>
              <w:pStyle w:val="TableContents"/>
              <w:bidi w:val="0"/>
              <w:spacing w:before="0" w:after="283"/>
              <w:jc w:val="left"/>
              <w:rPr/>
            </w:pPr>
            <w:r>
              <w:rPr/>
              <w:t> </w:t>
            </w:r>
          </w:p>
        </w:tc>
        <w:tc>
          <w:tcPr>
            <w:tcW w:w="2276" w:type="dxa"/>
            <w:tcBorders>
              <w:bottom w:val="single" w:sz="6" w:space="0" w:color="B99C16"/>
            </w:tcBorders>
            <w:tcMar>
              <w:bottom w:w="60" w:type="dxa"/>
            </w:tcMar>
            <w:vAlign w:val="center"/>
          </w:tcPr>
          <w:p>
            <w:pPr>
              <w:pStyle w:val="TableContents"/>
              <w:bidi w:val="0"/>
              <w:spacing w:before="0" w:after="283"/>
              <w:jc w:val="right"/>
              <w:rPr/>
            </w:pPr>
            <w:r>
              <w:rPr/>
              <w:t>6,675,848(2)</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60" w:type="dxa"/>
            </w:tcMar>
            <w:vAlign w:val="center"/>
          </w:tcPr>
          <w:p>
            <w:pPr>
              <w:pStyle w:val="TableContents"/>
              <w:bidi w:val="0"/>
              <w:spacing w:before="0" w:after="283"/>
              <w:jc w:val="left"/>
              <w:rPr/>
            </w:pPr>
            <w:r>
              <w:rPr/>
              <w:t> </w:t>
            </w:r>
          </w:p>
        </w:tc>
        <w:tc>
          <w:tcPr>
            <w:tcW w:w="3215" w:type="dxa"/>
            <w:tcBorders>
              <w:bottom w:val="single" w:sz="6" w:space="0" w:color="B99C16"/>
            </w:tcBorders>
            <w:tcMar>
              <w:bottom w:w="60" w:type="dxa"/>
            </w:tcMar>
            <w:vAlign w:val="center"/>
          </w:tcPr>
          <w:p>
            <w:pPr>
              <w:pStyle w:val="TableContents"/>
              <w:bidi w:val="0"/>
              <w:spacing w:before="0" w:after="283"/>
              <w:jc w:val="right"/>
              <w:rPr/>
            </w:pPr>
            <w:r>
              <w:rPr/>
              <w:t>9.58       </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Directors</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276" w:type="dxa"/>
            <w:tcBorders>
              <w:bottom w:val="single" w:sz="6" w:space="0" w:color="B99C16"/>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99C16"/>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3215" w:type="dxa"/>
            <w:tcBorders>
              <w:bottom w:val="single" w:sz="6" w:space="0" w:color="B99C16"/>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B99C16"/>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18"/>
              </w:rPr>
            </w:pPr>
            <w:r>
              <w:rPr>
                <w:rFonts w:ascii="arial" w:hAnsi="arial"/>
                <w:sz w:val="18"/>
              </w:rPr>
              <w:t>Andréa Carter</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60" w:type="dxa"/>
            </w:tcMar>
            <w:vAlign w:val="center"/>
          </w:tcPr>
          <w:p>
            <w:pPr>
              <w:pStyle w:val="TableContents"/>
              <w:bidi w:val="0"/>
              <w:spacing w:before="0" w:after="283"/>
              <w:jc w:val="left"/>
              <w:rPr/>
            </w:pPr>
            <w:r>
              <w:rPr/>
              <w:t> </w:t>
            </w:r>
          </w:p>
        </w:tc>
        <w:tc>
          <w:tcPr>
            <w:tcW w:w="2276" w:type="dxa"/>
            <w:tcBorders>
              <w:bottom w:val="single" w:sz="6" w:space="0" w:color="B99C16"/>
            </w:tcBorders>
            <w:tcMar>
              <w:bottom w:w="60" w:type="dxa"/>
            </w:tcMar>
            <w:vAlign w:val="center"/>
          </w:tcPr>
          <w:p>
            <w:pPr>
              <w:pStyle w:val="TableContents"/>
              <w:bidi w:val="0"/>
              <w:spacing w:before="0" w:after="283"/>
              <w:jc w:val="right"/>
              <w:rPr/>
            </w:pPr>
            <w:r>
              <w:rPr/>
              <w:t>5,701(3)</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60" w:type="dxa"/>
            </w:tcMar>
            <w:vAlign w:val="center"/>
          </w:tcPr>
          <w:p>
            <w:pPr>
              <w:pStyle w:val="TableContents"/>
              <w:bidi w:val="0"/>
              <w:spacing w:before="0" w:after="283"/>
              <w:jc w:val="left"/>
              <w:rPr/>
            </w:pPr>
            <w:r>
              <w:rPr/>
              <w:t> </w:t>
            </w:r>
          </w:p>
        </w:tc>
        <w:tc>
          <w:tcPr>
            <w:tcW w:w="3215" w:type="dxa"/>
            <w:tcBorders>
              <w:bottom w:val="single" w:sz="6" w:space="0" w:color="B99C16"/>
            </w:tcBorders>
            <w:tcMar>
              <w:bottom w:w="60" w:type="dxa"/>
            </w:tcMar>
            <w:vAlign w:val="center"/>
          </w:tcPr>
          <w:p>
            <w:pPr>
              <w:pStyle w:val="TableContents"/>
              <w:bidi w:val="0"/>
              <w:spacing w:before="0" w:after="283"/>
              <w:jc w:val="right"/>
              <w:rPr/>
            </w:pPr>
            <w:r>
              <w:rPr/>
              <w:t>*       </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18"/>
              </w:rPr>
            </w:pPr>
            <w:r>
              <w:rPr>
                <w:rFonts w:ascii="arial" w:hAnsi="arial"/>
                <w:sz w:val="18"/>
              </w:rPr>
              <w:t>Douglas C. Grissom</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60" w:type="dxa"/>
            </w:tcMar>
            <w:vAlign w:val="center"/>
          </w:tcPr>
          <w:p>
            <w:pPr>
              <w:pStyle w:val="TableContents"/>
              <w:bidi w:val="0"/>
              <w:spacing w:before="0" w:after="283"/>
              <w:jc w:val="left"/>
              <w:rPr/>
            </w:pPr>
            <w:r>
              <w:rPr/>
              <w:t> </w:t>
            </w:r>
          </w:p>
        </w:tc>
        <w:tc>
          <w:tcPr>
            <w:tcW w:w="2276" w:type="dxa"/>
            <w:tcBorders>
              <w:bottom w:val="single" w:sz="6" w:space="0" w:color="B99C16"/>
            </w:tcBorders>
            <w:tcMar>
              <w:bottom w:w="60" w:type="dxa"/>
            </w:tcMar>
            <w:vAlign w:val="center"/>
          </w:tcPr>
          <w:p>
            <w:pPr>
              <w:pStyle w:val="TableContents"/>
              <w:bidi w:val="0"/>
              <w:spacing w:before="0" w:after="283"/>
              <w:jc w:val="right"/>
              <w:rPr/>
            </w:pPr>
            <w:r>
              <w:rPr/>
              <w:t>39,983(4)</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60" w:type="dxa"/>
            </w:tcMar>
            <w:vAlign w:val="center"/>
          </w:tcPr>
          <w:p>
            <w:pPr>
              <w:pStyle w:val="TableContents"/>
              <w:bidi w:val="0"/>
              <w:spacing w:before="0" w:after="283"/>
              <w:jc w:val="left"/>
              <w:rPr/>
            </w:pPr>
            <w:r>
              <w:rPr/>
              <w:t> </w:t>
            </w:r>
          </w:p>
        </w:tc>
        <w:tc>
          <w:tcPr>
            <w:tcW w:w="3215" w:type="dxa"/>
            <w:tcBorders>
              <w:bottom w:val="single" w:sz="6" w:space="0" w:color="B99C16"/>
            </w:tcBorders>
            <w:tcMar>
              <w:bottom w:w="60" w:type="dxa"/>
            </w:tcMar>
            <w:vAlign w:val="center"/>
          </w:tcPr>
          <w:p>
            <w:pPr>
              <w:pStyle w:val="TableContents"/>
              <w:bidi w:val="0"/>
              <w:spacing w:before="0" w:after="283"/>
              <w:jc w:val="right"/>
              <w:rPr/>
            </w:pPr>
            <w:r>
              <w:rPr/>
              <w:t>*       </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18"/>
              </w:rPr>
            </w:pPr>
            <w:r>
              <w:rPr>
                <w:rFonts w:ascii="arial" w:hAnsi="arial"/>
                <w:sz w:val="18"/>
              </w:rPr>
              <w:t>Daniel P. Harrington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60" w:type="dxa"/>
            </w:tcMar>
            <w:vAlign w:val="center"/>
          </w:tcPr>
          <w:p>
            <w:pPr>
              <w:pStyle w:val="TableContents"/>
              <w:bidi w:val="0"/>
              <w:spacing w:before="0" w:after="283"/>
              <w:jc w:val="left"/>
              <w:rPr/>
            </w:pPr>
            <w:r>
              <w:rPr/>
              <w:t> </w:t>
            </w:r>
          </w:p>
        </w:tc>
        <w:tc>
          <w:tcPr>
            <w:tcW w:w="2276" w:type="dxa"/>
            <w:tcBorders>
              <w:bottom w:val="single" w:sz="6" w:space="0" w:color="B99C16"/>
            </w:tcBorders>
            <w:tcMar>
              <w:bottom w:w="60" w:type="dxa"/>
            </w:tcMar>
            <w:vAlign w:val="center"/>
          </w:tcPr>
          <w:p>
            <w:pPr>
              <w:pStyle w:val="TableContents"/>
              <w:bidi w:val="0"/>
              <w:spacing w:before="0" w:after="283"/>
              <w:jc w:val="right"/>
              <w:rPr/>
            </w:pPr>
            <w:r>
              <w:rPr/>
              <w:t>1,269,182(5)</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60" w:type="dxa"/>
            </w:tcMar>
            <w:vAlign w:val="center"/>
          </w:tcPr>
          <w:p>
            <w:pPr>
              <w:pStyle w:val="TableContents"/>
              <w:bidi w:val="0"/>
              <w:spacing w:before="0" w:after="283"/>
              <w:jc w:val="left"/>
              <w:rPr/>
            </w:pPr>
            <w:r>
              <w:rPr/>
              <w:t> </w:t>
            </w:r>
          </w:p>
        </w:tc>
        <w:tc>
          <w:tcPr>
            <w:tcW w:w="3215" w:type="dxa"/>
            <w:tcBorders>
              <w:bottom w:val="single" w:sz="6" w:space="0" w:color="B99C16"/>
            </w:tcBorders>
            <w:tcMar>
              <w:bottom w:w="60" w:type="dxa"/>
            </w:tcMar>
            <w:vAlign w:val="center"/>
          </w:tcPr>
          <w:p>
            <w:pPr>
              <w:pStyle w:val="TableContents"/>
              <w:bidi w:val="0"/>
              <w:spacing w:before="0" w:after="283"/>
              <w:jc w:val="right"/>
              <w:rPr/>
            </w:pPr>
            <w:r>
              <w:rPr/>
              <w:t>1.82       </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18"/>
              </w:rPr>
            </w:pPr>
            <w:r>
              <w:rPr>
                <w:rFonts w:ascii="arial" w:hAnsi="arial"/>
                <w:sz w:val="18"/>
              </w:rPr>
              <w:t>Karole F. Lloyd</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60" w:type="dxa"/>
            </w:tcMar>
            <w:vAlign w:val="center"/>
          </w:tcPr>
          <w:p>
            <w:pPr>
              <w:pStyle w:val="TableContents"/>
              <w:bidi w:val="0"/>
              <w:spacing w:before="0" w:after="283"/>
              <w:jc w:val="left"/>
              <w:rPr/>
            </w:pPr>
            <w:r>
              <w:rPr/>
              <w:t> </w:t>
            </w:r>
          </w:p>
        </w:tc>
        <w:tc>
          <w:tcPr>
            <w:tcW w:w="2276" w:type="dxa"/>
            <w:tcBorders>
              <w:bottom w:val="single" w:sz="6" w:space="0" w:color="B99C16"/>
            </w:tcBorders>
            <w:tcMar>
              <w:bottom w:w="60" w:type="dxa"/>
            </w:tcMar>
            <w:vAlign w:val="center"/>
          </w:tcPr>
          <w:p>
            <w:pPr>
              <w:pStyle w:val="TableContents"/>
              <w:bidi w:val="0"/>
              <w:spacing w:before="0" w:after="283"/>
              <w:jc w:val="right"/>
              <w:rPr/>
            </w:pPr>
            <w:r>
              <w:rPr/>
              <w:t>38,060(6)</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60" w:type="dxa"/>
            </w:tcMar>
            <w:vAlign w:val="center"/>
          </w:tcPr>
          <w:p>
            <w:pPr>
              <w:pStyle w:val="TableContents"/>
              <w:bidi w:val="0"/>
              <w:spacing w:before="0" w:after="283"/>
              <w:jc w:val="left"/>
              <w:rPr/>
            </w:pPr>
            <w:r>
              <w:rPr/>
              <w:t> </w:t>
            </w:r>
          </w:p>
        </w:tc>
        <w:tc>
          <w:tcPr>
            <w:tcW w:w="3215" w:type="dxa"/>
            <w:tcBorders>
              <w:bottom w:val="single" w:sz="6" w:space="0" w:color="B99C16"/>
            </w:tcBorders>
            <w:tcMar>
              <w:bottom w:w="60" w:type="dxa"/>
            </w:tcMar>
            <w:vAlign w:val="center"/>
          </w:tcPr>
          <w:p>
            <w:pPr>
              <w:pStyle w:val="TableContents"/>
              <w:bidi w:val="0"/>
              <w:spacing w:before="0" w:after="283"/>
              <w:jc w:val="right"/>
              <w:rPr/>
            </w:pPr>
            <w:r>
              <w:rPr/>
              <w:t>*       </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18"/>
              </w:rPr>
            </w:pPr>
            <w:r>
              <w:rPr>
                <w:rFonts w:ascii="arial" w:hAnsi="arial"/>
                <w:sz w:val="18"/>
              </w:rPr>
              <w:t>R. Alex Rankin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60" w:type="dxa"/>
            </w:tcMar>
            <w:vAlign w:val="center"/>
          </w:tcPr>
          <w:p>
            <w:pPr>
              <w:pStyle w:val="TableContents"/>
              <w:bidi w:val="0"/>
              <w:spacing w:before="0" w:after="283"/>
              <w:jc w:val="left"/>
              <w:rPr/>
            </w:pPr>
            <w:r>
              <w:rPr/>
              <w:t> </w:t>
            </w:r>
          </w:p>
        </w:tc>
        <w:tc>
          <w:tcPr>
            <w:tcW w:w="2276" w:type="dxa"/>
            <w:tcBorders>
              <w:bottom w:val="single" w:sz="6" w:space="0" w:color="B99C16"/>
            </w:tcBorders>
            <w:tcMar>
              <w:bottom w:w="60" w:type="dxa"/>
            </w:tcMar>
            <w:vAlign w:val="center"/>
          </w:tcPr>
          <w:p>
            <w:pPr>
              <w:pStyle w:val="TableContents"/>
              <w:bidi w:val="0"/>
              <w:spacing w:before="0" w:after="283"/>
              <w:jc w:val="right"/>
              <w:rPr/>
            </w:pPr>
            <w:r>
              <w:rPr/>
              <w:t>99,211(7)</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60" w:type="dxa"/>
            </w:tcMar>
            <w:vAlign w:val="center"/>
          </w:tcPr>
          <w:p>
            <w:pPr>
              <w:pStyle w:val="TableContents"/>
              <w:bidi w:val="0"/>
              <w:spacing w:before="0" w:after="283"/>
              <w:jc w:val="left"/>
              <w:rPr/>
            </w:pPr>
            <w:r>
              <w:rPr/>
              <w:t> </w:t>
            </w:r>
          </w:p>
        </w:tc>
        <w:tc>
          <w:tcPr>
            <w:tcW w:w="3215" w:type="dxa"/>
            <w:tcBorders>
              <w:bottom w:val="single" w:sz="6" w:space="0" w:color="B99C16"/>
            </w:tcBorders>
            <w:tcMar>
              <w:bottom w:w="60" w:type="dxa"/>
            </w:tcMar>
            <w:vAlign w:val="center"/>
          </w:tcPr>
          <w:p>
            <w:pPr>
              <w:pStyle w:val="TableContents"/>
              <w:bidi w:val="0"/>
              <w:spacing w:before="0" w:after="283"/>
              <w:jc w:val="right"/>
              <w:rPr/>
            </w:pPr>
            <w:r>
              <w:rPr/>
              <w:t>0.14       </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18"/>
              </w:rPr>
            </w:pPr>
            <w:r>
              <w:rPr>
                <w:rFonts w:ascii="arial" w:hAnsi="arial"/>
                <w:sz w:val="18"/>
              </w:rPr>
              <w:t>Paul C. Varga</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60" w:type="dxa"/>
            </w:tcMar>
            <w:vAlign w:val="center"/>
          </w:tcPr>
          <w:p>
            <w:pPr>
              <w:pStyle w:val="TableContents"/>
              <w:bidi w:val="0"/>
              <w:spacing w:before="0" w:after="283"/>
              <w:jc w:val="left"/>
              <w:rPr/>
            </w:pPr>
            <w:r>
              <w:rPr/>
              <w:t> </w:t>
            </w:r>
          </w:p>
        </w:tc>
        <w:tc>
          <w:tcPr>
            <w:tcW w:w="2276" w:type="dxa"/>
            <w:tcBorders>
              <w:bottom w:val="single" w:sz="6" w:space="0" w:color="B99C16"/>
            </w:tcBorders>
            <w:tcMar>
              <w:bottom w:w="60" w:type="dxa"/>
            </w:tcMar>
            <w:vAlign w:val="center"/>
          </w:tcPr>
          <w:p>
            <w:pPr>
              <w:pStyle w:val="TableContents"/>
              <w:bidi w:val="0"/>
              <w:spacing w:before="0" w:after="283"/>
              <w:jc w:val="right"/>
              <w:rPr/>
            </w:pPr>
            <w:r>
              <w:rPr/>
              <w:t>33,300(8)</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60" w:type="dxa"/>
            </w:tcMar>
            <w:vAlign w:val="center"/>
          </w:tcPr>
          <w:p>
            <w:pPr>
              <w:pStyle w:val="TableContents"/>
              <w:bidi w:val="0"/>
              <w:spacing w:before="0" w:after="283"/>
              <w:jc w:val="left"/>
              <w:rPr/>
            </w:pPr>
            <w:r>
              <w:rPr/>
              <w:t> </w:t>
            </w:r>
          </w:p>
        </w:tc>
        <w:tc>
          <w:tcPr>
            <w:tcW w:w="3215" w:type="dxa"/>
            <w:tcBorders>
              <w:bottom w:val="single" w:sz="6" w:space="0" w:color="B99C16"/>
            </w:tcBorders>
            <w:tcMar>
              <w:bottom w:w="60" w:type="dxa"/>
            </w:tcMar>
            <w:vAlign w:val="center"/>
          </w:tcPr>
          <w:p>
            <w:pPr>
              <w:pStyle w:val="TableContents"/>
              <w:bidi w:val="0"/>
              <w:spacing w:before="0" w:after="283"/>
              <w:jc w:val="right"/>
              <w:rPr/>
            </w:pPr>
            <w:r>
              <w:rPr/>
              <w:t>*       </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Named Executive Officers</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276" w:type="dxa"/>
            <w:tcBorders>
              <w:bottom w:val="single" w:sz="6" w:space="0" w:color="B99C16"/>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99C16"/>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3215" w:type="dxa"/>
            <w:tcBorders>
              <w:bottom w:val="single" w:sz="6" w:space="0" w:color="B99C16"/>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B99C16"/>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18"/>
              </w:rPr>
            </w:pPr>
            <w:r>
              <w:rPr>
                <w:rFonts w:ascii="arial" w:hAnsi="arial"/>
                <w:sz w:val="18"/>
              </w:rPr>
              <w:t>William C. Carstanjen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60" w:type="dxa"/>
            </w:tcMar>
            <w:vAlign w:val="center"/>
          </w:tcPr>
          <w:p>
            <w:pPr>
              <w:pStyle w:val="TableContents"/>
              <w:bidi w:val="0"/>
              <w:spacing w:before="0" w:after="283"/>
              <w:jc w:val="left"/>
              <w:rPr/>
            </w:pPr>
            <w:r>
              <w:rPr/>
              <w:t> </w:t>
            </w:r>
          </w:p>
        </w:tc>
        <w:tc>
          <w:tcPr>
            <w:tcW w:w="2276" w:type="dxa"/>
            <w:tcBorders>
              <w:bottom w:val="single" w:sz="6" w:space="0" w:color="B99C16"/>
            </w:tcBorders>
            <w:tcMar>
              <w:bottom w:w="60" w:type="dxa"/>
            </w:tcMar>
            <w:vAlign w:val="center"/>
          </w:tcPr>
          <w:p>
            <w:pPr>
              <w:pStyle w:val="TableContents"/>
              <w:bidi w:val="0"/>
              <w:spacing w:before="0" w:after="283"/>
              <w:jc w:val="right"/>
              <w:rPr/>
            </w:pPr>
            <w:r>
              <w:rPr/>
              <w:t>1,685,609(9)</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60" w:type="dxa"/>
            </w:tcMar>
            <w:vAlign w:val="center"/>
          </w:tcPr>
          <w:p>
            <w:pPr>
              <w:pStyle w:val="TableContents"/>
              <w:bidi w:val="0"/>
              <w:spacing w:before="0" w:after="283"/>
              <w:jc w:val="left"/>
              <w:rPr/>
            </w:pPr>
            <w:r>
              <w:rPr/>
              <w:t> </w:t>
            </w:r>
          </w:p>
        </w:tc>
        <w:tc>
          <w:tcPr>
            <w:tcW w:w="3215" w:type="dxa"/>
            <w:tcBorders>
              <w:bottom w:val="single" w:sz="6" w:space="0" w:color="B99C16"/>
            </w:tcBorders>
            <w:tcMar>
              <w:bottom w:w="60" w:type="dxa"/>
            </w:tcMar>
            <w:vAlign w:val="center"/>
          </w:tcPr>
          <w:p>
            <w:pPr>
              <w:pStyle w:val="TableContents"/>
              <w:bidi w:val="0"/>
              <w:spacing w:before="0" w:after="283"/>
              <w:jc w:val="right"/>
              <w:rPr/>
            </w:pPr>
            <w:r>
              <w:rPr/>
              <w:t>2.42       </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18"/>
              </w:rPr>
            </w:pPr>
            <w:r>
              <w:rPr>
                <w:rFonts w:ascii="arial" w:hAnsi="arial"/>
                <w:sz w:val="18"/>
              </w:rPr>
              <w:t>William E. Mudd</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60" w:type="dxa"/>
            </w:tcMar>
            <w:vAlign w:val="center"/>
          </w:tcPr>
          <w:p>
            <w:pPr>
              <w:pStyle w:val="TableContents"/>
              <w:bidi w:val="0"/>
              <w:spacing w:before="0" w:after="283"/>
              <w:jc w:val="left"/>
              <w:rPr/>
            </w:pPr>
            <w:r>
              <w:rPr/>
              <w:t> </w:t>
            </w:r>
          </w:p>
        </w:tc>
        <w:tc>
          <w:tcPr>
            <w:tcW w:w="2276" w:type="dxa"/>
            <w:tcBorders>
              <w:bottom w:val="single" w:sz="6" w:space="0" w:color="B99C16"/>
            </w:tcBorders>
            <w:tcMar>
              <w:bottom w:w="60" w:type="dxa"/>
            </w:tcMar>
            <w:vAlign w:val="center"/>
          </w:tcPr>
          <w:p>
            <w:pPr>
              <w:pStyle w:val="TableContents"/>
              <w:bidi w:val="0"/>
              <w:spacing w:before="0" w:after="283"/>
              <w:jc w:val="right"/>
              <w:rPr/>
            </w:pPr>
            <w:r>
              <w:rPr/>
              <w:t>732,067(10)</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60" w:type="dxa"/>
            </w:tcMar>
            <w:vAlign w:val="center"/>
          </w:tcPr>
          <w:p>
            <w:pPr>
              <w:pStyle w:val="TableContents"/>
              <w:bidi w:val="0"/>
              <w:spacing w:before="0" w:after="283"/>
              <w:jc w:val="left"/>
              <w:rPr/>
            </w:pPr>
            <w:r>
              <w:rPr/>
              <w:t> </w:t>
            </w:r>
          </w:p>
        </w:tc>
        <w:tc>
          <w:tcPr>
            <w:tcW w:w="3215" w:type="dxa"/>
            <w:tcBorders>
              <w:bottom w:val="single" w:sz="6" w:space="0" w:color="B99C16"/>
            </w:tcBorders>
            <w:tcMar>
              <w:bottom w:w="60" w:type="dxa"/>
            </w:tcMar>
            <w:vAlign w:val="center"/>
          </w:tcPr>
          <w:p>
            <w:pPr>
              <w:pStyle w:val="TableContents"/>
              <w:bidi w:val="0"/>
              <w:spacing w:before="0" w:after="283"/>
              <w:jc w:val="right"/>
              <w:rPr/>
            </w:pPr>
            <w:r>
              <w:rPr/>
              <w:t>1.05       </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18"/>
              </w:rPr>
            </w:pPr>
            <w:r>
              <w:rPr>
                <w:rFonts w:ascii="arial" w:hAnsi="arial"/>
                <w:sz w:val="18"/>
              </w:rPr>
              <w:t>Marcia A. Dall</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60" w:type="dxa"/>
            </w:tcMar>
            <w:vAlign w:val="center"/>
          </w:tcPr>
          <w:p>
            <w:pPr>
              <w:pStyle w:val="TableContents"/>
              <w:bidi w:val="0"/>
              <w:spacing w:before="0" w:after="283"/>
              <w:jc w:val="left"/>
              <w:rPr/>
            </w:pPr>
            <w:r>
              <w:rPr/>
              <w:t> </w:t>
            </w:r>
          </w:p>
        </w:tc>
        <w:tc>
          <w:tcPr>
            <w:tcW w:w="2276" w:type="dxa"/>
            <w:tcBorders>
              <w:bottom w:val="single" w:sz="6" w:space="0" w:color="B99C16"/>
            </w:tcBorders>
            <w:tcMar>
              <w:bottom w:w="60" w:type="dxa"/>
            </w:tcMar>
            <w:vAlign w:val="center"/>
          </w:tcPr>
          <w:p>
            <w:pPr>
              <w:pStyle w:val="TableContents"/>
              <w:bidi w:val="0"/>
              <w:spacing w:before="0" w:after="283"/>
              <w:jc w:val="right"/>
              <w:rPr/>
            </w:pPr>
            <w:r>
              <w:rPr/>
              <w:t>153,843(11)</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60" w:type="dxa"/>
            </w:tcMar>
            <w:vAlign w:val="center"/>
          </w:tcPr>
          <w:p>
            <w:pPr>
              <w:pStyle w:val="TableContents"/>
              <w:bidi w:val="0"/>
              <w:spacing w:before="0" w:after="283"/>
              <w:jc w:val="left"/>
              <w:rPr/>
            </w:pPr>
            <w:r>
              <w:rPr/>
              <w:t> </w:t>
            </w:r>
          </w:p>
        </w:tc>
        <w:tc>
          <w:tcPr>
            <w:tcW w:w="3215" w:type="dxa"/>
            <w:tcBorders>
              <w:bottom w:val="single" w:sz="6" w:space="0" w:color="B99C16"/>
            </w:tcBorders>
            <w:tcMar>
              <w:bottom w:w="60" w:type="dxa"/>
            </w:tcMar>
            <w:vAlign w:val="center"/>
          </w:tcPr>
          <w:p>
            <w:pPr>
              <w:pStyle w:val="TableContents"/>
              <w:bidi w:val="0"/>
              <w:spacing w:before="0" w:after="283"/>
              <w:jc w:val="right"/>
              <w:rPr/>
            </w:pPr>
            <w:r>
              <w:rPr/>
              <w:t>0.22       </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18"/>
              </w:rPr>
            </w:pPr>
            <w:r>
              <w:rPr>
                <w:rFonts w:ascii="arial" w:hAnsi="arial"/>
                <w:sz w:val="18"/>
              </w:rPr>
              <w:t>Bradley K. Blackwell</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60" w:type="dxa"/>
            </w:tcMar>
            <w:vAlign w:val="center"/>
          </w:tcPr>
          <w:p>
            <w:pPr>
              <w:pStyle w:val="TableContents"/>
              <w:bidi w:val="0"/>
              <w:spacing w:before="0" w:after="283"/>
              <w:jc w:val="left"/>
              <w:rPr/>
            </w:pPr>
            <w:r>
              <w:rPr/>
              <w:t> </w:t>
            </w:r>
          </w:p>
        </w:tc>
        <w:tc>
          <w:tcPr>
            <w:tcW w:w="2276" w:type="dxa"/>
            <w:tcBorders>
              <w:bottom w:val="single" w:sz="6" w:space="0" w:color="B99C16"/>
            </w:tcBorders>
            <w:tcMar>
              <w:bottom w:w="60" w:type="dxa"/>
            </w:tcMar>
            <w:vAlign w:val="center"/>
          </w:tcPr>
          <w:p>
            <w:pPr>
              <w:pStyle w:val="TableContents"/>
              <w:bidi w:val="0"/>
              <w:spacing w:before="0" w:after="283"/>
              <w:jc w:val="right"/>
              <w:rPr/>
            </w:pPr>
            <w:r>
              <w:rPr/>
              <w:t>30,934(12)</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60" w:type="dxa"/>
            </w:tcMar>
            <w:vAlign w:val="center"/>
          </w:tcPr>
          <w:p>
            <w:pPr>
              <w:pStyle w:val="TableContents"/>
              <w:bidi w:val="0"/>
              <w:spacing w:before="0" w:after="283"/>
              <w:jc w:val="left"/>
              <w:rPr/>
            </w:pPr>
            <w:r>
              <w:rPr/>
              <w:t> </w:t>
            </w:r>
          </w:p>
        </w:tc>
        <w:tc>
          <w:tcPr>
            <w:tcW w:w="3215" w:type="dxa"/>
            <w:tcBorders>
              <w:bottom w:val="single" w:sz="6" w:space="0" w:color="B99C16"/>
            </w:tcBorders>
            <w:tcMar>
              <w:bottom w:w="60" w:type="dxa"/>
            </w:tcMar>
            <w:vAlign w:val="center"/>
          </w:tcPr>
          <w:p>
            <w:pPr>
              <w:pStyle w:val="TableContents"/>
              <w:bidi w:val="0"/>
              <w:spacing w:before="0" w:after="283"/>
              <w:jc w:val="right"/>
              <w:rPr/>
            </w:pPr>
            <w:r>
              <w:rPr/>
              <w:t>*       </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407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469"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10 Directors and Executive Officers as a Group</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9" w:type="dxa"/>
            <w:tcBorders>
              <w:bottom w:val="single" w:sz="6" w:space="0" w:color="B99C16"/>
            </w:tcBorders>
            <w:tcMar>
              <w:bottom w:w="60" w:type="dxa"/>
            </w:tcMar>
            <w:vAlign w:val="center"/>
          </w:tcPr>
          <w:p>
            <w:pPr>
              <w:pStyle w:val="TableContents"/>
              <w:bidi w:val="0"/>
              <w:spacing w:before="0" w:after="283"/>
              <w:jc w:val="left"/>
              <w:rPr/>
            </w:pPr>
            <w:r>
              <w:rPr/>
              <w:t> </w:t>
            </w:r>
          </w:p>
        </w:tc>
        <w:tc>
          <w:tcPr>
            <w:tcW w:w="2276" w:type="dxa"/>
            <w:tcBorders>
              <w:bottom w:val="single" w:sz="6" w:space="0" w:color="B99C16"/>
            </w:tcBorders>
            <w:tcMar>
              <w:bottom w:w="60" w:type="dxa"/>
            </w:tcMar>
            <w:vAlign w:val="center"/>
          </w:tcPr>
          <w:p>
            <w:pPr>
              <w:pStyle w:val="TableContents"/>
              <w:bidi w:val="0"/>
              <w:spacing w:before="0" w:after="283"/>
              <w:jc w:val="right"/>
              <w:rPr/>
            </w:pPr>
            <w:r>
              <w:rPr/>
              <w:t>4,087,890 </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60" w:type="dxa"/>
            </w:tcMar>
            <w:vAlign w:val="center"/>
          </w:tcPr>
          <w:p>
            <w:pPr>
              <w:pStyle w:val="TableContents"/>
              <w:bidi w:val="0"/>
              <w:spacing w:before="0" w:after="283"/>
              <w:jc w:val="left"/>
              <w:rPr/>
            </w:pPr>
            <w:r>
              <w:rPr/>
              <w:t> </w:t>
            </w:r>
          </w:p>
        </w:tc>
        <w:tc>
          <w:tcPr>
            <w:tcW w:w="3215" w:type="dxa"/>
            <w:tcBorders>
              <w:bottom w:val="single" w:sz="6" w:space="0" w:color="B99C16"/>
            </w:tcBorders>
            <w:tcMar>
              <w:bottom w:w="60" w:type="dxa"/>
            </w:tcMar>
            <w:vAlign w:val="center"/>
          </w:tcPr>
          <w:p>
            <w:pPr>
              <w:pStyle w:val="TableContents"/>
              <w:bidi w:val="0"/>
              <w:spacing w:before="0" w:after="283"/>
              <w:jc w:val="right"/>
              <w:rPr/>
            </w:pPr>
            <w:r>
              <w:rPr/>
              <w:t>5.87       </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155"/>
        <w:gridCol w:w="1385"/>
      </w:tblGrid>
      <w:tr>
        <w:trPr/>
        <w:tc>
          <w:tcPr>
            <w:tcW w:w="15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0"/>
              <w:jc w:val="left"/>
              <w:rPr>
                <w:rFonts w:ascii="arial" w:hAnsi="arial"/>
                <w:sz w:val="18"/>
              </w:rPr>
            </w:pPr>
            <w:r>
              <w:rPr>
                <w:rFonts w:ascii="arial" w:hAnsi="arial"/>
                <w:sz w:val="18"/>
              </w:rPr>
              <w:t xml:space="preserve">Less than 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arial" w:hAnsi="arial"/>
                <w:sz w:val="18"/>
              </w:rPr>
            </w:pPr>
            <w:r>
              <w:rPr>
                <w:rFonts w:ascii="arial" w:hAnsi="arial"/>
                <w:sz w:val="18"/>
              </w:rPr>
              <w:t xml:space="preserve">Based on a Schedule 13G/A filed with the SEC on February 13, 2024, reporting the beneficial ownership of The Vanguard Group and its subsidiaries specified therein (“Vanguard”) as of December 29, 2023. As reported in such filing, Vanguard has sole voting power over no shares, sole dispositive power over 6,629,885 shares, shared voting power over 29,927 shares and shared dispositive power over 93,673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0"/>
              <w:jc w:val="left"/>
              <w:rPr>
                <w:rFonts w:ascii="arial" w:hAnsi="arial"/>
                <w:sz w:val="18"/>
              </w:rPr>
            </w:pPr>
            <w:r>
              <w:rPr>
                <w:rFonts w:ascii="arial" w:hAnsi="arial"/>
                <w:sz w:val="18"/>
              </w:rPr>
              <w:t xml:space="preserve">Based on a Schedule 13G/A filed with the SEC on April 24, 2025, reporting the beneficial ownership of BlackRock, Inc. and its subsidiaries specified therein (“BlackRock”) as of March 31, 2025. As reported in such filing, BlackRock has sole voting power over 6,486,849 shares, sole dispositive power over 6,675,848 shares and no shared voting or dispositive power over any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(3)</w:t>
            </w:r>
          </w:p>
        </w:tc>
        <w:tc>
          <w:tcPr>
            <w:tcW w:w="9952" w:type="dxa"/>
            <w:tcBorders/>
            <w:vAlign w:val="center"/>
          </w:tcPr>
          <w:p>
            <w:pPr>
              <w:pStyle w:val="TableContents"/>
              <w:bidi w:val="0"/>
              <w:spacing w:before="0" w:after="0"/>
              <w:jc w:val="left"/>
              <w:rPr>
                <w:rFonts w:ascii="arial" w:hAnsi="arial"/>
                <w:sz w:val="18"/>
              </w:rPr>
            </w:pPr>
            <w:r>
              <w:rPr>
                <w:rFonts w:ascii="arial" w:hAnsi="arial"/>
                <w:sz w:val="18"/>
              </w:rPr>
              <w:t xml:space="preserve">Includes 870 deferred stock units, which Ms. Carter has elected to defer pursuant to the Company’s deferred compensation plan. Also includes 3,572 restricted stock units awarded by the Company for her board service, over which Ms. Carter has neither voting nor dispositive power until immediately following her resignation or retirement from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0"/>
              <w:jc w:val="left"/>
              <w:rPr>
                <w:rFonts w:ascii="arial" w:hAnsi="arial"/>
                <w:sz w:val="18"/>
              </w:rPr>
            </w:pPr>
            <w:r>
              <w:rPr>
                <w:rFonts w:ascii="arial" w:hAnsi="arial"/>
                <w:sz w:val="18"/>
              </w:rPr>
              <w:t xml:space="preserve">Includes 12,223 deferred stock units, which Mr. Grissom has elected to defer pursuant to the Company’s deferred compensation plan. Also includes 18,069 restricted stock units awarded by the Company for his board service, over which Mr. Grissom has neither voting nor dispositive power until immediately following his resignation or retirement from the Board. </w:t>
            </w:r>
          </w:p>
        </w:tc>
      </w:tr>
    </w:tbl>
    <w:p>
      <w:pPr>
        <w:pStyle w:val="TextBody"/>
        <w:bidi w:val="0"/>
        <w:spacing w:before="0" w:after="0"/>
        <w:jc w:val="left"/>
        <w:rPr/>
      </w:pPr>
      <w:r>
        <w:rPr/>
        <w:t> </w:t>
      </w:r>
    </w:p>
    <w:tbl>
      <w:tblPr>
        <w:tblW w:w="4733" w:type="dxa"/>
        <w:jc w:val="left"/>
        <w:tblInd w:w="0" w:type="dxa"/>
        <w:tblLayout w:type="fixed"/>
        <w:tblCellMar>
          <w:top w:w="0" w:type="dxa"/>
          <w:left w:w="0" w:type="dxa"/>
          <w:bottom w:w="0" w:type="dxa"/>
          <w:right w:w="0" w:type="dxa"/>
        </w:tblCellMar>
      </w:tblPr>
      <w:tblGrid>
        <w:gridCol w:w="1835"/>
        <w:gridCol w:w="60"/>
        <w:gridCol w:w="2638"/>
        <w:gridCol w:w="60"/>
        <w:gridCol w:w="140"/>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Proxy Statement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(5)</w:t>
            </w:r>
          </w:p>
        </w:tc>
        <w:tc>
          <w:tcPr>
            <w:tcW w:w="9965" w:type="dxa"/>
            <w:tcBorders/>
            <w:vAlign w:val="center"/>
          </w:tcPr>
          <w:p>
            <w:pPr>
              <w:pStyle w:val="TableContents"/>
              <w:bidi w:val="0"/>
              <w:spacing w:before="0" w:after="0"/>
              <w:jc w:val="left"/>
              <w:rPr>
                <w:rFonts w:ascii="arial" w:hAnsi="arial"/>
                <w:sz w:val="18"/>
              </w:rPr>
            </w:pPr>
            <w:r>
              <w:rPr>
                <w:rFonts w:ascii="arial" w:hAnsi="arial"/>
                <w:sz w:val="18"/>
              </w:rPr>
              <w:t xml:space="preserve">Mr. Harrington shares voting and investment power with respect to 1,145,352 shares held by TVI Corp. He specifically disclaims beneficial ownership of these shares. Amount in chart includes 72,069 deferred stock units, which Mr. Harrington has elected to defer pursuant to the Company’s deferred compensation plan. Also includes 51,761 restricted stock units awarded by the Company for his board service, over which Mr. Harrington has neither voting nor dispositive power until immediately following his resignation or retirement from the Board. Amount in chart does not include 195,204 shares held by the Veale Foundation. Mr. Harrington is a member of the Board of Trustees of the Veale Foundation, but Mr. Harrington disclaims beneficial ownership of those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(6)</w:t>
            </w:r>
          </w:p>
        </w:tc>
        <w:tc>
          <w:tcPr>
            <w:tcW w:w="9942" w:type="dxa"/>
            <w:tcBorders/>
            <w:vAlign w:val="center"/>
          </w:tcPr>
          <w:p>
            <w:pPr>
              <w:pStyle w:val="TableContents"/>
              <w:bidi w:val="0"/>
              <w:spacing w:before="0" w:after="0"/>
              <w:jc w:val="left"/>
              <w:rPr>
                <w:rFonts w:ascii="arial" w:hAnsi="arial"/>
                <w:sz w:val="18"/>
              </w:rPr>
            </w:pPr>
            <w:r>
              <w:rPr>
                <w:rFonts w:ascii="arial" w:hAnsi="arial"/>
                <w:sz w:val="18"/>
              </w:rPr>
              <w:t xml:space="preserve">Includes 2,339 restricted stock awards that will vest within 60 days of March 2, 2026 and 13,233 restricted stock unit awards, over which Ms. Lloyd has neither voting nor dispositive power until immediately following her resignation or retirement from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(7)</w:t>
            </w:r>
          </w:p>
        </w:tc>
        <w:tc>
          <w:tcPr>
            <w:tcW w:w="9936" w:type="dxa"/>
            <w:tcBorders/>
            <w:vAlign w:val="center"/>
          </w:tcPr>
          <w:p>
            <w:pPr>
              <w:pStyle w:val="TableContents"/>
              <w:bidi w:val="0"/>
              <w:spacing w:before="0" w:after="0"/>
              <w:jc w:val="left"/>
              <w:rPr>
                <w:rFonts w:ascii="arial" w:hAnsi="arial"/>
                <w:sz w:val="18"/>
              </w:rPr>
            </w:pPr>
            <w:r>
              <w:rPr>
                <w:rFonts w:ascii="arial" w:hAnsi="arial"/>
                <w:sz w:val="18"/>
              </w:rPr>
              <w:t xml:space="preserve">Includes 51,761 restricted stock units awarded by the Company for his board service, over which Mr. Rankin has neither voting nor dispositive power until immediately following his resignation or retirement from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(8)</w:t>
            </w:r>
          </w:p>
        </w:tc>
        <w:tc>
          <w:tcPr>
            <w:tcW w:w="9936" w:type="dxa"/>
            <w:tcBorders/>
            <w:vAlign w:val="center"/>
          </w:tcPr>
          <w:p>
            <w:pPr>
              <w:pStyle w:val="TableContents"/>
              <w:bidi w:val="0"/>
              <w:spacing w:before="0" w:after="0"/>
              <w:jc w:val="left"/>
              <w:rPr>
                <w:rFonts w:ascii="arial" w:hAnsi="arial"/>
                <w:sz w:val="18"/>
              </w:rPr>
            </w:pPr>
            <w:r>
              <w:rPr>
                <w:rFonts w:ascii="arial" w:hAnsi="arial"/>
                <w:sz w:val="18"/>
              </w:rPr>
              <w:t xml:space="preserve">Includes 10,241 restricted stock units awarded by the Company for his board service, over which Mr. Varga has neither voting nor dispositive power until immediately following his resignation or retirement from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(9)</w:t>
            </w:r>
          </w:p>
        </w:tc>
        <w:tc>
          <w:tcPr>
            <w:tcW w:w="9969" w:type="dxa"/>
            <w:tcBorders/>
            <w:vAlign w:val="center"/>
          </w:tcPr>
          <w:p>
            <w:pPr>
              <w:pStyle w:val="TableContents"/>
              <w:bidi w:val="0"/>
              <w:spacing w:before="0" w:after="0"/>
              <w:jc w:val="left"/>
              <w:rPr>
                <w:rFonts w:ascii="arial" w:hAnsi="arial"/>
                <w:sz w:val="18"/>
              </w:rPr>
            </w:pPr>
            <w:r>
              <w:rPr>
                <w:rFonts w:ascii="arial" w:hAnsi="arial"/>
                <w:sz w:val="18"/>
              </w:rPr>
              <w:t xml:space="preserve">Excludes 70,900 restricted stock units and 7,803 shares deferred under the Company’s Deferral Plan. Excludes 105,706 restricted stock units, tied to Mr. Carstanjen’s continued service to the Company, over which Mr. Carstanjen has neither voting nor dispositive power until December 31, 2026, at which time 46,787 units shall vest without restriction; December 31, 2027, at which time 37,572 units shall vest without restriction; and December 31, 2028, at which time 21,347 units shall vest without restriction. Excludes 76,317 performance stock units awarded under the Company’s executive long term incentive compensation plan over which Mr. Carstanjen has neither voting nor dispositive power until December 31, 2026, at which time the performance period ends with regard to 27,643 performance stock units; and December 31, 2027, at which time the performance period ends with regard to 48,674 performance stock units. Further excludes all performance stock units to be awarded to Mr. Carstanjen under the Company’s executive long-term incentive compensation plan for the performance period of January 1, 2026 through December 31,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(10)</w:t>
            </w:r>
          </w:p>
        </w:tc>
        <w:tc>
          <w:tcPr>
            <w:tcW w:w="9848" w:type="dxa"/>
            <w:tcBorders/>
            <w:vAlign w:val="center"/>
          </w:tcPr>
          <w:p>
            <w:pPr>
              <w:pStyle w:val="TableContents"/>
              <w:bidi w:val="0"/>
              <w:spacing w:before="0" w:after="0"/>
              <w:jc w:val="left"/>
              <w:rPr>
                <w:rFonts w:ascii="arial" w:hAnsi="arial"/>
                <w:sz w:val="18"/>
              </w:rPr>
            </w:pPr>
            <w:r>
              <w:rPr>
                <w:rFonts w:ascii="arial" w:hAnsi="arial"/>
                <w:sz w:val="18"/>
              </w:rPr>
              <w:t xml:space="preserve">Excludes 36,232 restricted stock units, tied to Mr. Mudd’s continued service to the Company, over which Mr. Mudd has neither voting nor dispositive power until December 31, 2026, at which time 16,591 units shall vest without restriction; December 31, 2027, at which time 12,525 units shall vest without restriction; and December 31, 2028, at which time 7,116 units shall vest without restriction. Excludes 28,421 performance stock units awarded under the Company’s executive long term incentive compensation plan over which Mr. Mudd has neither voting nor dispositive power until December 31, 2026, at which time the performance period ends with regard to 12,196 performance stock units; and December 31, 2027, at which time the performance period ends with regard to 16,225 performance stock units. Further excludes all performance stock units to be awarded to Mr. Mudd under the Company’s executive long-term incentive compensation plan for the performance period of January 1, 2026 through December 31,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0"/>
              <w:jc w:val="left"/>
              <w:rPr>
                <w:rFonts w:ascii="arial" w:hAnsi="arial"/>
                <w:sz w:val="18"/>
              </w:rPr>
            </w:pPr>
            <w:r>
              <w:rPr>
                <w:rFonts w:ascii="arial" w:hAnsi="arial"/>
                <w:sz w:val="18"/>
              </w:rPr>
              <w:t xml:space="preserve">Excludes 10,860 restricted stock units deferred under the Company’s Deferral Plan. Excludes 21,478 restricted stock units, tied to Ms. Dall’s continued service to the Company, over which Ms. Dall has neither voting nor dispositive power until December 31, 2026, at which time 10,184 units shall vest without restriction; December 31, 2027, at which time 7,202 units shall vest without restriction; and December 31, 2028, at which time 4,092 units shall vest without restriction. Excludes 18,274 performance stock units awarded under the Company’s executive long term incentive compensation plan over which Ms. Dall has neither voting nor dispositive power until December 31, 2026, at which time the performance period ends with regard to 8,944 performance stock units; and December 31, 2027, at which time the performance period ends with regard to 9,330 performance stock units. Further excludes all performance stock units to be awarded to Ms. Dall under the Company’s executive long-term incentive compensation plan for the performance period of January 1, 2026 through December 31,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0"/>
              <w:jc w:val="left"/>
              <w:rPr>
                <w:rFonts w:ascii="arial" w:hAnsi="arial"/>
                <w:sz w:val="18"/>
              </w:rPr>
            </w:pPr>
            <w:r>
              <w:rPr>
                <w:rFonts w:ascii="arial" w:hAnsi="arial"/>
                <w:sz w:val="18"/>
              </w:rPr>
              <w:t xml:space="preserve">Excludes 15,164 restricted stock units, tied to Mr. Blackwell’s continued service to the Company, over which Mr. Blackwell has neither voting nor dispositive power until December 31, 2026, at which time 6,815 units shall vest without restriction; December 31, 2027, at which time 5,324 units shall vest without restriction; and December 31, 2028, at which time 3,025 units shall vest without restriction. Excludes 11,368 performance stock units awarded under the Company’s executive long term incentive compensation plan over which Mr. Blackwell has neither voting nor dispositive power until December 31, 2026, at which time the performance period ends with regard to 4,472 performance stock units; and December 31, 2027, at which time the performance period ends with regard to 6,896 performance stock units. Further excludes all performance stock units to be awarded to Mr. Blackwell under the Company’s executive long-term incentive compensation plan for the performance period of January 1, 2026 through December 31, 2028. </w:t>
            </w:r>
          </w:p>
        </w:tc>
      </w:tr>
    </w:tbl>
    <w:p>
      <w:pPr>
        <w:pStyle w:val="TextBody"/>
        <w:bidi w:val="0"/>
        <w:spacing w:before="0" w:after="0"/>
        <w:jc w:val="left"/>
        <w:rPr/>
      </w:pPr>
      <w:r>
        <w:rPr/>
        <w:t> </w:t>
      </w:r>
    </w:p>
    <w:tbl>
      <w:tblPr>
        <w:tblW w:w="4733" w:type="dxa"/>
        <w:jc w:val="left"/>
        <w:tblInd w:w="0" w:type="dxa"/>
        <w:tblLayout w:type="fixed"/>
        <w:tblCellMar>
          <w:top w:w="0" w:type="dxa"/>
          <w:left w:w="0" w:type="dxa"/>
          <w:bottom w:w="0" w:type="dxa"/>
          <w:right w:w="0" w:type="dxa"/>
        </w:tblCellMar>
      </w:tblPr>
      <w:tblGrid>
        <w:gridCol w:w="140"/>
        <w:gridCol w:w="60"/>
        <w:gridCol w:w="2638"/>
        <w:gridCol w:w="60"/>
        <w:gridCol w:w="1835"/>
      </w:tblGrid>
      <w:tr>
        <w:trPr/>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140"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6</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Proxy Statement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B99C16"/>
          <w:sz w:val="28"/>
        </w:rPr>
      </w:pPr>
      <w:bookmarkStart w:id="8" w:name="toc123994_6"/>
      <w:bookmarkEnd w:id="8"/>
      <w:r>
        <w:rPr>
          <w:rFonts w:ascii="arial" w:hAnsi="arial"/>
          <w:b/>
          <w:color w:val="B99C16"/>
          <w:sz w:val="28"/>
        </w:rPr>
        <w:t>I</w:t>
      </w:r>
      <w:r>
        <w:rPr>
          <w:rFonts w:ascii="arial" w:hAnsi="arial"/>
          <w:b/>
          <w:color w:val="B99C16"/>
          <w:sz w:val="20"/>
          <w:u w:val="single"/>
        </w:rPr>
        <w:t>NFORMATION</w:t>
      </w:r>
      <w:r>
        <w:rPr>
          <w:rFonts w:ascii="arial" w:hAnsi="arial"/>
          <w:b/>
          <w:color w:val="B99C16"/>
          <w:sz w:val="28"/>
        </w:rPr>
        <w:t xml:space="preserve"> </w:t>
      </w:r>
      <w:r>
        <w:rPr>
          <w:rFonts w:ascii="arial" w:hAnsi="arial"/>
          <w:b/>
          <w:color w:val="B99C16"/>
          <w:sz w:val="20"/>
          <w:u w:val="single"/>
        </w:rPr>
        <w:t>ABOUT</w:t>
      </w:r>
      <w:r>
        <w:rPr>
          <w:rFonts w:ascii="arial" w:hAnsi="arial"/>
          <w:b/>
          <w:color w:val="B99C16"/>
          <w:sz w:val="28"/>
        </w:rPr>
        <w:t xml:space="preserve"> </w:t>
      </w:r>
      <w:r>
        <w:rPr>
          <w:rFonts w:ascii="arial" w:hAnsi="arial"/>
          <w:b/>
          <w:color w:val="B99C16"/>
          <w:sz w:val="20"/>
          <w:u w:val="single"/>
        </w:rPr>
        <w:t>OUR</w:t>
      </w:r>
      <w:r>
        <w:rPr>
          <w:rFonts w:ascii="arial" w:hAnsi="arial"/>
          <w:b/>
          <w:color w:val="B99C16"/>
          <w:sz w:val="28"/>
        </w:rPr>
        <w:t xml:space="preserve"> E</w:t>
      </w:r>
      <w:r>
        <w:rPr>
          <w:rFonts w:ascii="arial" w:hAnsi="arial"/>
          <w:b/>
          <w:color w:val="B99C16"/>
          <w:sz w:val="20"/>
          <w:u w:val="single"/>
        </w:rPr>
        <w:t>XECUTIVE</w:t>
      </w:r>
      <w:r>
        <w:rPr>
          <w:rFonts w:ascii="arial" w:hAnsi="arial"/>
          <w:b/>
          <w:color w:val="B99C16"/>
          <w:sz w:val="28"/>
        </w:rPr>
        <w:t xml:space="preserve"> O</w:t>
      </w:r>
      <w:r>
        <w:rPr>
          <w:rFonts w:ascii="arial" w:hAnsi="arial"/>
          <w:b/>
          <w:color w:val="B99C16"/>
          <w:sz w:val="20"/>
          <w:u w:val="single"/>
        </w:rPr>
        <w:t>FFICERS</w:t>
      </w:r>
      <w:r>
        <w:rPr>
          <w:rFonts w:ascii="arial" w:hAnsi="arial"/>
          <w:b/>
          <w:color w:val="B99C16"/>
          <w:sz w:val="28"/>
        </w:rPr>
        <w:t xml:space="preserve"> </w:t>
      </w:r>
    </w:p>
    <w:p>
      <w:pPr>
        <w:pStyle w:val="TextBody"/>
        <w:bidi w:val="0"/>
        <w:spacing w:before="240" w:after="0"/>
        <w:jc w:val="left"/>
        <w:rPr>
          <w:rFonts w:ascii="arial" w:hAnsi="arial"/>
          <w:sz w:val="20"/>
        </w:rPr>
      </w:pPr>
      <w:r>
        <w:rPr>
          <w:rFonts w:ascii="arial" w:hAnsi="arial"/>
          <w:sz w:val="20"/>
        </w:rPr>
        <w:t xml:space="preserve">The Company’s executive officers, as listed below, are elected annually to their executive offices and serve at the pleasure of the Board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54"/>
        <w:gridCol w:w="60"/>
        <w:gridCol w:w="8191"/>
      </w:tblGrid>
      <w:tr>
        <w:trPr/>
        <w:tc>
          <w:tcPr>
            <w:tcW w:w="19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1954" w:type="dxa"/>
            <w:tcBorders/>
            <w:shd w:fill="004876" w:val="clear"/>
            <w:vAlign w:val="center"/>
          </w:tcPr>
          <w:p>
            <w:pPr>
              <w:pStyle w:val="TableContents"/>
              <w:bidi w:val="0"/>
              <w:spacing w:before="0" w:after="283"/>
              <w:jc w:val="left"/>
              <w:rPr>
                <w:sz w:val="4"/>
                <w:szCs w:val="4"/>
              </w:rPr>
            </w:pPr>
            <w:r>
              <w:rPr>
                <w:sz w:val="4"/>
                <w:szCs w:val="4"/>
              </w:rPr>
            </w:r>
          </w:p>
        </w:tc>
        <w:tc>
          <w:tcPr>
            <w:tcW w:w="8251" w:type="dxa"/>
            <w:gridSpan w:val="2"/>
            <w:tcBorders/>
            <w:shd w:fill="004876" w:val="clear"/>
            <w:vAlign w:val="center"/>
          </w:tcPr>
          <w:p>
            <w:pPr>
              <w:pStyle w:val="TableContents"/>
              <w:bidi w:val="0"/>
              <w:spacing w:before="0" w:after="283"/>
              <w:jc w:val="left"/>
              <w:rPr>
                <w:sz w:val="4"/>
                <w:szCs w:val="4"/>
              </w:rPr>
            </w:pPr>
            <w:r>
              <w:rPr>
                <w:sz w:val="4"/>
                <w:szCs w:val="4"/>
              </w:rPr>
            </w:r>
          </w:p>
        </w:tc>
      </w:tr>
      <w:tr>
        <w:trPr/>
        <w:tc>
          <w:tcPr>
            <w:tcW w:w="1954" w:type="dxa"/>
            <w:tcBorders>
              <w:bottom w:val="single" w:sz="6" w:space="0" w:color="004876"/>
            </w:tcBorders>
            <w:shd w:fill="004876" w:val="clear"/>
            <w:tcMar>
              <w:bottom w:w="8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Name and Age</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8191" w:type="dxa"/>
            <w:tcBorders>
              <w:bottom w:val="single" w:sz="6" w:space="0" w:color="004876"/>
            </w:tcBorders>
            <w:shd w:fill="004876" w:val="clear"/>
            <w:tcMar>
              <w:bottom w:w="80" w:type="dxa"/>
            </w:tcMar>
            <w:vAlign w:val="center"/>
          </w:tcPr>
          <w:p>
            <w:pPr>
              <w:pStyle w:val="TableContents"/>
              <w:bidi w:val="0"/>
              <w:spacing w:before="0" w:after="283"/>
              <w:jc w:val="center"/>
              <w:rPr>
                <w:b/>
                <w:color w:val="FFFFFF"/>
              </w:rPr>
            </w:pPr>
            <w:r>
              <w:rPr>
                <w:b/>
                <w:color w:val="FFFFFF"/>
              </w:rPr>
              <w:t>Position(s) With Company and Term of Office</w:t>
            </w:r>
          </w:p>
        </w:tc>
      </w:tr>
      <w:tr>
        <w:trPr/>
        <w:tc>
          <w:tcPr>
            <w:tcW w:w="1954" w:type="dxa"/>
            <w:tcBorders/>
            <w:shd w:fill="F4F0DC" w:val="clear"/>
            <w:vAlign w:val="center"/>
          </w:tcPr>
          <w:p>
            <w:pPr>
              <w:pStyle w:val="TableContents"/>
              <w:bidi w:val="0"/>
              <w:spacing w:before="0" w:after="283"/>
              <w:jc w:val="left"/>
              <w:rPr>
                <w:sz w:val="4"/>
                <w:szCs w:val="4"/>
              </w:rPr>
            </w:pPr>
            <w:r>
              <w:rPr>
                <w:sz w:val="4"/>
                <w:szCs w:val="4"/>
              </w:rPr>
            </w:r>
          </w:p>
        </w:tc>
        <w:tc>
          <w:tcPr>
            <w:tcW w:w="8251" w:type="dxa"/>
            <w:gridSpan w:val="2"/>
            <w:tcBorders/>
            <w:vAlign w:val="center"/>
          </w:tcPr>
          <w:p>
            <w:pPr>
              <w:pStyle w:val="TableContents"/>
              <w:bidi w:val="0"/>
              <w:spacing w:before="0" w:after="283"/>
              <w:jc w:val="left"/>
              <w:rPr>
                <w:sz w:val="4"/>
                <w:szCs w:val="4"/>
              </w:rPr>
            </w:pPr>
            <w:r>
              <w:rPr>
                <w:sz w:val="4"/>
                <w:szCs w:val="4"/>
              </w:rPr>
            </w:r>
          </w:p>
        </w:tc>
      </w:tr>
      <w:tr>
        <w:trPr/>
        <w:tc>
          <w:tcPr>
            <w:tcW w:w="1954" w:type="dxa"/>
            <w:tcBorders>
              <w:bottom w:val="single" w:sz="6" w:space="0" w:color="B99C16"/>
            </w:tcBorders>
            <w:shd w:fill="F4F0DC" w:val="clear"/>
            <w:tcMar>
              <w:bottom w:w="40"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William C. Carstanjen(1)</w:t>
            </w:r>
          </w:p>
          <w:p>
            <w:pPr>
              <w:pStyle w:val="TableContents"/>
              <w:bidi w:val="0"/>
              <w:spacing w:before="0" w:after="20"/>
              <w:jc w:val="left"/>
              <w:rPr>
                <w:rFonts w:ascii="arial" w:hAnsi="arial"/>
                <w:sz w:val="18"/>
              </w:rPr>
            </w:pPr>
            <w:r>
              <w:rPr>
                <w:rFonts w:ascii="arial" w:hAnsi="arial"/>
                <w:sz w:val="18"/>
              </w:rPr>
              <w:t>Age: 58</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191" w:type="dxa"/>
            <w:tcBorders>
              <w:bottom w:val="single" w:sz="6" w:space="0" w:color="B99C16"/>
            </w:tcBorders>
            <w:tcMar>
              <w:bottom w:w="40" w:type="dxa"/>
            </w:tcMar>
            <w:vAlign w:val="center"/>
          </w:tcPr>
          <w:p>
            <w:pPr>
              <w:pStyle w:val="TableContents"/>
              <w:bidi w:val="0"/>
              <w:spacing w:before="0" w:after="283"/>
              <w:jc w:val="left"/>
              <w:rPr/>
            </w:pPr>
            <w:r>
              <w:rPr/>
              <w:t>Chief Executive Officer since August 2014; President and Chief Operating Officer from March 2011 to August 2014; Chief Operating Officer from January 2009 to March 2011; Executive Vice President and Chief Development Officer from June 2005 to January 2009; General Counsel from June 2005 to December 2006</w:t>
            </w:r>
          </w:p>
        </w:tc>
      </w:tr>
      <w:tr>
        <w:trPr/>
        <w:tc>
          <w:tcPr>
            <w:tcW w:w="1954" w:type="dxa"/>
            <w:tcBorders/>
            <w:shd w:fill="F4F0DC" w:val="clear"/>
            <w:vAlign w:val="center"/>
          </w:tcPr>
          <w:p>
            <w:pPr>
              <w:pStyle w:val="TableContents"/>
              <w:bidi w:val="0"/>
              <w:spacing w:before="0" w:after="283"/>
              <w:jc w:val="left"/>
              <w:rPr>
                <w:sz w:val="4"/>
                <w:szCs w:val="4"/>
              </w:rPr>
            </w:pPr>
            <w:r>
              <w:rPr>
                <w:sz w:val="4"/>
                <w:szCs w:val="4"/>
              </w:rPr>
            </w:r>
          </w:p>
        </w:tc>
        <w:tc>
          <w:tcPr>
            <w:tcW w:w="8251" w:type="dxa"/>
            <w:gridSpan w:val="2"/>
            <w:tcBorders/>
            <w:vAlign w:val="center"/>
          </w:tcPr>
          <w:p>
            <w:pPr>
              <w:pStyle w:val="TableContents"/>
              <w:bidi w:val="0"/>
              <w:spacing w:before="0" w:after="283"/>
              <w:jc w:val="left"/>
              <w:rPr>
                <w:sz w:val="4"/>
                <w:szCs w:val="4"/>
              </w:rPr>
            </w:pPr>
            <w:r>
              <w:rPr>
                <w:sz w:val="4"/>
                <w:szCs w:val="4"/>
              </w:rPr>
            </w:r>
          </w:p>
        </w:tc>
      </w:tr>
      <w:tr>
        <w:trPr/>
        <w:tc>
          <w:tcPr>
            <w:tcW w:w="1954" w:type="dxa"/>
            <w:tcBorders>
              <w:bottom w:val="single" w:sz="6" w:space="0" w:color="B99C16"/>
            </w:tcBorders>
            <w:shd w:fill="F4F0DC" w:val="clear"/>
            <w:tcMar>
              <w:bottom w:w="40"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William E. Mudd(2)</w:t>
            </w:r>
          </w:p>
          <w:p>
            <w:pPr>
              <w:pStyle w:val="TableContents"/>
              <w:bidi w:val="0"/>
              <w:spacing w:before="0" w:after="20"/>
              <w:jc w:val="left"/>
              <w:rPr>
                <w:rFonts w:ascii="arial" w:hAnsi="arial"/>
                <w:sz w:val="18"/>
              </w:rPr>
            </w:pPr>
            <w:r>
              <w:rPr>
                <w:rFonts w:ascii="arial" w:hAnsi="arial"/>
                <w:sz w:val="18"/>
              </w:rPr>
              <w:t>Age: 54</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191" w:type="dxa"/>
            <w:tcBorders>
              <w:bottom w:val="single" w:sz="6" w:space="0" w:color="B99C16"/>
            </w:tcBorders>
            <w:tcMar>
              <w:bottom w:w="40" w:type="dxa"/>
            </w:tcMar>
            <w:vAlign w:val="center"/>
          </w:tcPr>
          <w:p>
            <w:pPr>
              <w:pStyle w:val="TableContents"/>
              <w:bidi w:val="0"/>
              <w:spacing w:before="0" w:after="283"/>
              <w:jc w:val="left"/>
              <w:rPr/>
            </w:pPr>
            <w:r>
              <w:rPr/>
              <w:t>President and Chief Operating Officer since October 2015; President and Chief Financial Officer from August 2014 to October 2015; Executive Vice President and Chief Financial Officer from October 2007 to August 2014</w:t>
            </w:r>
          </w:p>
        </w:tc>
      </w:tr>
      <w:tr>
        <w:trPr/>
        <w:tc>
          <w:tcPr>
            <w:tcW w:w="1954" w:type="dxa"/>
            <w:tcBorders/>
            <w:shd w:fill="F4F0DC" w:val="clear"/>
            <w:vAlign w:val="center"/>
          </w:tcPr>
          <w:p>
            <w:pPr>
              <w:pStyle w:val="TableContents"/>
              <w:bidi w:val="0"/>
              <w:spacing w:before="0" w:after="283"/>
              <w:jc w:val="left"/>
              <w:rPr>
                <w:sz w:val="4"/>
                <w:szCs w:val="4"/>
              </w:rPr>
            </w:pPr>
            <w:r>
              <w:rPr>
                <w:sz w:val="4"/>
                <w:szCs w:val="4"/>
              </w:rPr>
            </w:r>
          </w:p>
        </w:tc>
        <w:tc>
          <w:tcPr>
            <w:tcW w:w="8251" w:type="dxa"/>
            <w:gridSpan w:val="2"/>
            <w:tcBorders/>
            <w:vAlign w:val="center"/>
          </w:tcPr>
          <w:p>
            <w:pPr>
              <w:pStyle w:val="TableContents"/>
              <w:bidi w:val="0"/>
              <w:spacing w:before="0" w:after="283"/>
              <w:jc w:val="left"/>
              <w:rPr>
                <w:sz w:val="4"/>
                <w:szCs w:val="4"/>
              </w:rPr>
            </w:pPr>
            <w:r>
              <w:rPr>
                <w:sz w:val="4"/>
                <w:szCs w:val="4"/>
              </w:rPr>
            </w:r>
          </w:p>
        </w:tc>
      </w:tr>
      <w:tr>
        <w:trPr/>
        <w:tc>
          <w:tcPr>
            <w:tcW w:w="1954" w:type="dxa"/>
            <w:tcBorders>
              <w:bottom w:val="single" w:sz="6" w:space="0" w:color="B99C16"/>
            </w:tcBorders>
            <w:shd w:fill="F4F0DC" w:val="clear"/>
            <w:tcMar>
              <w:bottom w:w="40"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Marcia A. Dall(3)</w:t>
            </w:r>
          </w:p>
          <w:p>
            <w:pPr>
              <w:pStyle w:val="TableContents"/>
              <w:bidi w:val="0"/>
              <w:spacing w:before="0" w:after="20"/>
              <w:jc w:val="left"/>
              <w:rPr>
                <w:rFonts w:ascii="arial" w:hAnsi="arial"/>
                <w:sz w:val="18"/>
              </w:rPr>
            </w:pPr>
            <w:r>
              <w:rPr>
                <w:rFonts w:ascii="arial" w:hAnsi="arial"/>
                <w:sz w:val="18"/>
              </w:rPr>
              <w:t>Age: 62</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191" w:type="dxa"/>
            <w:tcBorders>
              <w:bottom w:val="single" w:sz="6" w:space="0" w:color="B99C16"/>
            </w:tcBorders>
            <w:tcMar>
              <w:bottom w:w="40" w:type="dxa"/>
            </w:tcMar>
            <w:vAlign w:val="center"/>
          </w:tcPr>
          <w:p>
            <w:pPr>
              <w:pStyle w:val="TableContents"/>
              <w:bidi w:val="0"/>
              <w:spacing w:before="0" w:after="283"/>
              <w:jc w:val="left"/>
              <w:rPr/>
            </w:pPr>
            <w:r>
              <w:rPr/>
              <w:t>Executive Vice President and Chief Financial Officer since October 2015</w:t>
            </w:r>
          </w:p>
        </w:tc>
      </w:tr>
      <w:tr>
        <w:trPr/>
        <w:tc>
          <w:tcPr>
            <w:tcW w:w="1954" w:type="dxa"/>
            <w:tcBorders/>
            <w:shd w:fill="F4F0DC" w:val="clear"/>
            <w:vAlign w:val="center"/>
          </w:tcPr>
          <w:p>
            <w:pPr>
              <w:pStyle w:val="TableContents"/>
              <w:bidi w:val="0"/>
              <w:spacing w:before="0" w:after="283"/>
              <w:jc w:val="left"/>
              <w:rPr>
                <w:sz w:val="4"/>
                <w:szCs w:val="4"/>
              </w:rPr>
            </w:pPr>
            <w:r>
              <w:rPr>
                <w:sz w:val="4"/>
                <w:szCs w:val="4"/>
              </w:rPr>
            </w:r>
          </w:p>
        </w:tc>
        <w:tc>
          <w:tcPr>
            <w:tcW w:w="8251" w:type="dxa"/>
            <w:gridSpan w:val="2"/>
            <w:tcBorders/>
            <w:vAlign w:val="center"/>
          </w:tcPr>
          <w:p>
            <w:pPr>
              <w:pStyle w:val="TableContents"/>
              <w:bidi w:val="0"/>
              <w:spacing w:before="0" w:after="283"/>
              <w:jc w:val="left"/>
              <w:rPr>
                <w:sz w:val="4"/>
                <w:szCs w:val="4"/>
              </w:rPr>
            </w:pPr>
            <w:r>
              <w:rPr>
                <w:sz w:val="4"/>
                <w:szCs w:val="4"/>
              </w:rPr>
            </w:r>
          </w:p>
        </w:tc>
      </w:tr>
      <w:tr>
        <w:trPr/>
        <w:tc>
          <w:tcPr>
            <w:tcW w:w="1954" w:type="dxa"/>
            <w:tcBorders>
              <w:bottom w:val="single" w:sz="6" w:space="0" w:color="B99C16"/>
            </w:tcBorders>
            <w:shd w:fill="F4F0DC" w:val="clear"/>
            <w:tcMar>
              <w:bottom w:w="40"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Bradley K. Blackwell(4)</w:t>
            </w:r>
          </w:p>
          <w:p>
            <w:pPr>
              <w:pStyle w:val="TableContents"/>
              <w:bidi w:val="0"/>
              <w:spacing w:before="0" w:after="20"/>
              <w:jc w:val="left"/>
              <w:rPr>
                <w:rFonts w:ascii="arial" w:hAnsi="arial"/>
                <w:sz w:val="18"/>
              </w:rPr>
            </w:pPr>
            <w:r>
              <w:rPr>
                <w:rFonts w:ascii="arial" w:hAnsi="arial"/>
                <w:sz w:val="18"/>
              </w:rPr>
              <w:t>Age: 54</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191" w:type="dxa"/>
            <w:tcBorders>
              <w:bottom w:val="single" w:sz="6" w:space="0" w:color="B99C16"/>
            </w:tcBorders>
            <w:tcMar>
              <w:bottom w:w="40" w:type="dxa"/>
            </w:tcMar>
            <w:vAlign w:val="center"/>
          </w:tcPr>
          <w:p>
            <w:pPr>
              <w:pStyle w:val="TableContents"/>
              <w:bidi w:val="0"/>
              <w:spacing w:before="0" w:after="283"/>
              <w:jc w:val="left"/>
              <w:rPr/>
            </w:pPr>
            <w:r>
              <w:rPr/>
              <w:t>Executive Vice President and General Counsel since February 2023; Senior Vice President and General Counsel from March 2017 to February 2023; Vice President, Operations from February 2015 to March 2017; Vice President, Legal from April 2011 to February 2015; Vice President, Legal and Regulatory Affairs for TwinSpires from January 2007 to April 2011; Corporate Counsel from April 2005 to January 2007</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rFonts w:ascii="arial" w:hAnsi="arial"/>
                <w:sz w:val="18"/>
              </w:rPr>
            </w:pPr>
            <w:r>
              <w:rPr>
                <w:rFonts w:ascii="arial" w:hAnsi="arial"/>
                <w:sz w:val="18"/>
              </w:rPr>
              <w:t xml:space="preserve">Prior to joining the Company, Mr. Carstanjen was employed at General Electric Company (“GE”). From 2004 through June 2005, he served as the Managing Director and General Counsel of GE Commercial Finance, Energy Financial Services. From 2002 to 2004, he served as General Counsel of GE Specialty Materials and, from 2000 to 2002, he served as Transactions and Finance Counsel of GE Worldwide Headquarters. Mr. Carstanjen began his career as an attorney with Cravath, Swaine &amp; Moore LLP in New York City, specializing in mergers and acquisitions and other corporate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(2)</w:t>
            </w:r>
          </w:p>
        </w:tc>
        <w:tc>
          <w:tcPr>
            <w:tcW w:w="9962" w:type="dxa"/>
            <w:tcBorders/>
            <w:vAlign w:val="center"/>
          </w:tcPr>
          <w:p>
            <w:pPr>
              <w:pStyle w:val="TableContents"/>
              <w:bidi w:val="0"/>
              <w:spacing w:before="0" w:after="0"/>
              <w:jc w:val="left"/>
              <w:rPr>
                <w:rFonts w:ascii="arial" w:hAnsi="arial"/>
                <w:sz w:val="18"/>
              </w:rPr>
            </w:pPr>
            <w:r>
              <w:rPr>
                <w:rFonts w:ascii="arial" w:hAnsi="arial"/>
                <w:sz w:val="18"/>
              </w:rPr>
              <w:t xml:space="preserve">Prior to joining the Company, Mr. Mudd was employed at GE. From 2006 through October 2007, he served as Chief Financial Officer, Global Commercial &amp; Americas P&amp;L of GE Infrastructure, Water &amp; Process Technologies. From 2004 to 2006, he served as Chief Financial Officer, Supply Chain, Information Technology and Technology Finance, GE Consumer &amp; Industrial Europe, Middle East, &amp; Africa, Budapest and Hungary and, from 2002 to 2004, he served as Manager, Global Financial Planning &amp; Analysis and Business Development at GE FANUC in Charlottesville, Virginia.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arial" w:hAnsi="arial"/>
                <w:sz w:val="18"/>
              </w:rPr>
            </w:pPr>
            <w:r>
              <w:rPr>
                <w:rFonts w:ascii="arial" w:hAnsi="arial"/>
                <w:sz w:val="18"/>
              </w:rPr>
              <w:t xml:space="preserve">Prior to joining the Company, Ms. Dall was employed at Erie Indemnity Company, a company providing sales, underwriting and administrative services to Erie Insurance Exchange, where from March 2009 through October 2015, she served as Executive Vice President and Chief Financial Officer. From January 2008 until March 2009, she served as Chief Financial Officer of the Healthcare division at CIGNA Corporation. Prior to CIGNA, Ms. Dall was a corporate officer and the Chief Financial Officer for the International and U.S. Mortgage Insurance segments of Genworth Financial, a former subsidiary of GE. Ms. Dall began her career in 1985 in the Financial Management Program at GE and held various leadership roles both in finance and operations over her twenty-plus year tenure with GE. Ms. Dall is a Certified Public Accountant.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(4)</w:t>
            </w:r>
          </w:p>
        </w:tc>
        <w:tc>
          <w:tcPr>
            <w:tcW w:w="9954" w:type="dxa"/>
            <w:tcBorders/>
            <w:vAlign w:val="center"/>
          </w:tcPr>
          <w:p>
            <w:pPr>
              <w:pStyle w:val="TableContents"/>
              <w:bidi w:val="0"/>
              <w:spacing w:before="0" w:after="0"/>
              <w:jc w:val="left"/>
              <w:rPr>
                <w:rFonts w:ascii="arial" w:hAnsi="arial"/>
                <w:sz w:val="18"/>
              </w:rPr>
            </w:pPr>
            <w:r>
              <w:rPr>
                <w:rFonts w:ascii="arial" w:hAnsi="arial"/>
                <w:sz w:val="18"/>
              </w:rPr>
              <w:t xml:space="preserve">Prior to joining the Company, Mr. Blackwell served as Assistant General Counsel and Secretary at Michaels Stores, Inc. (“Michaels”), a NYSE publicly traded specialty retailer with over 1,000 stores across 49 states, Canada, and Puerto Rico. Prior to Michaels, Mr. Blackwell served as an attorney with Jones Day in Dallas, Texas, focusing on mergers and acquisitions and corporate counseling. </w:t>
            </w:r>
          </w:p>
        </w:tc>
      </w:tr>
    </w:tbl>
    <w:p>
      <w:pPr>
        <w:pStyle w:val="TextBody"/>
        <w:bidi w:val="0"/>
        <w:spacing w:before="0" w:after="0"/>
        <w:jc w:val="left"/>
        <w:rPr/>
      </w:pPr>
      <w:r>
        <w:rPr/>
        <w:t> </w:t>
      </w:r>
    </w:p>
    <w:tbl>
      <w:tblPr>
        <w:tblW w:w="4733" w:type="dxa"/>
        <w:jc w:val="left"/>
        <w:tblInd w:w="0" w:type="dxa"/>
        <w:tblLayout w:type="fixed"/>
        <w:tblCellMar>
          <w:top w:w="0" w:type="dxa"/>
          <w:left w:w="0" w:type="dxa"/>
          <w:bottom w:w="0" w:type="dxa"/>
          <w:right w:w="0" w:type="dxa"/>
        </w:tblCellMar>
      </w:tblPr>
      <w:tblGrid>
        <w:gridCol w:w="1835"/>
        <w:gridCol w:w="60"/>
        <w:gridCol w:w="2638"/>
        <w:gridCol w:w="60"/>
        <w:gridCol w:w="140"/>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Election of Directors (Proposal No. 1)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9" w:name="toc123994_7"/>
            <w:bookmarkEnd w:id="9"/>
            <w:r>
              <w:rPr>
                <w:rFonts w:ascii="arial" w:hAnsi="arial"/>
                <w:b/>
                <w:color w:val="004876"/>
                <w:sz w:val="48"/>
              </w:rPr>
              <w:t>ELECTION OF DIRECTORS (Proposal No. 1)</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At the Annual Meeting, shareholders will vote to elect the two (2) persons identified below to serve in Class III of the Board of Directors and to hold office for a term of three (3) years expiring at the 2029 annual meeting of shareholders and thereafter until their respective successors shall be duly elected and qualified or until the earlier of their resignation, death or removal. </w:t>
      </w:r>
    </w:p>
    <w:p>
      <w:pPr>
        <w:pStyle w:val="TextBody"/>
        <w:bidi w:val="0"/>
        <w:spacing w:before="240" w:after="0"/>
        <w:jc w:val="left"/>
        <w:rPr>
          <w:rFonts w:ascii="arial" w:hAnsi="arial"/>
          <w:sz w:val="20"/>
        </w:rPr>
      </w:pPr>
      <w:r>
        <w:rPr>
          <w:rFonts w:ascii="arial" w:hAnsi="arial"/>
          <w:sz w:val="20"/>
        </w:rPr>
        <w:t xml:space="preserve">The Amended and Restated Bylaws of the Company provide that the Board of Directors shall be composed of not fewer than three (3) nor more than fifteen (15) members, the exact number to be established by the Board of Directors, and further provide for the division of the Board of Directors into three (3) approximately equal classes, of which one (1) class is elected annually to a three (3) year term. Currently, the Board of Directors is comprised of seven (7) directors, with three (3) directors in Class I, two (2) directors in Class II, and two (2) directors in Class III. </w:t>
      </w:r>
    </w:p>
    <w:p>
      <w:pPr>
        <w:pStyle w:val="TextBody"/>
        <w:bidi w:val="0"/>
        <w:spacing w:before="240" w:after="0"/>
        <w:jc w:val="left"/>
        <w:rPr>
          <w:rFonts w:ascii="arial" w:hAnsi="arial"/>
          <w:sz w:val="20"/>
        </w:rPr>
      </w:pPr>
      <w:r>
        <w:rPr>
          <w:rFonts w:ascii="arial" w:hAnsi="arial"/>
          <w:sz w:val="20"/>
        </w:rPr>
        <w:t xml:space="preserve">The Nominating and Governance Committee has recommended, and the Board has approved, the nomination of the two (2) persons named in the following table for election as directors in Class III. The nominees currently serve as directors in Class III and have agreed to serve if re-elected. </w:t>
      </w:r>
    </w:p>
    <w:p>
      <w:pPr>
        <w:pStyle w:val="TextBody"/>
        <w:bidi w:val="0"/>
        <w:spacing w:before="240" w:after="0"/>
        <w:jc w:val="left"/>
        <w:rPr>
          <w:rFonts w:ascii="arial" w:hAnsi="arial"/>
          <w:sz w:val="20"/>
        </w:rPr>
      </w:pPr>
      <w:r>
        <w:rPr>
          <w:rFonts w:ascii="arial" w:hAnsi="arial"/>
          <w:sz w:val="20"/>
        </w:rPr>
        <w:t xml:space="preserve">Directors are elected by a plurality of votes cast by the shares entitled to vote in the election at a meeting at which a quorum is present. With each shareholder having one vote per share to cast for each director position, the nominees receiving the greatest number of “FOR” votes will be elected. The biographical information for our directors and director nominees below includes information regarding certain of the experiences, qualifications, attributes and skills that led to the determination that such individuals are qualified to serve on the Board of Directors. </w:t>
      </w:r>
    </w:p>
    <w:p>
      <w:pPr>
        <w:pStyle w:val="TextBody"/>
        <w:bidi w:val="0"/>
        <w:spacing w:before="0" w:after="0"/>
        <w:jc w:val="left"/>
        <w:rPr/>
      </w:pPr>
      <w:r>
        <w:rPr/>
        <w:t> </w:t>
      </w:r>
    </w:p>
    <w:tbl>
      <w:tblPr>
        <w:tblW w:w="7594" w:type="dxa"/>
        <w:jc w:val="left"/>
        <w:tblInd w:w="0" w:type="dxa"/>
        <w:tblLayout w:type="fixed"/>
        <w:tblCellMar>
          <w:top w:w="0" w:type="dxa"/>
          <w:left w:w="0" w:type="dxa"/>
          <w:bottom w:w="0" w:type="dxa"/>
          <w:right w:w="0" w:type="dxa"/>
        </w:tblCellMar>
      </w:tblPr>
      <w:tblGrid>
        <w:gridCol w:w="1109"/>
        <w:gridCol w:w="120"/>
        <w:gridCol w:w="6365"/>
      </w:tblGrid>
      <w:tr>
        <w:trPr/>
        <w:tc>
          <w:tcPr>
            <w:tcW w:w="1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65" w:type="dxa"/>
            <w:tcBorders/>
            <w:vAlign w:val="center"/>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center"/>
              <w:rPr/>
            </w:pPr>
            <w:r>
              <w:rPr/>
              <w:drawing>
                <wp:inline distT="0" distB="0" distL="0" distR="0">
                  <wp:extent cx="656590" cy="68770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656590" cy="6877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arial" w:hAnsi="arial"/>
                <w:b/>
                <w:color w:val="004876"/>
                <w:sz w:val="24"/>
              </w:rPr>
            </w:pPr>
            <w:r>
              <w:rPr>
                <w:rFonts w:ascii="arial" w:hAnsi="arial"/>
                <w:b/>
                <w:color w:val="004876"/>
                <w:sz w:val="24"/>
              </w:rPr>
              <w:t>The Board of Directors recommends a vote </w:t>
            </w:r>
            <w:r>
              <w:rPr>
                <w:rFonts w:ascii="arial" w:hAnsi="arial"/>
                <w:b/>
                <w:color w:val="B99C16"/>
                <w:sz w:val="24"/>
              </w:rPr>
              <w:t>“</w:t>
            </w:r>
            <w:r>
              <w:rPr>
                <w:rFonts w:ascii="arial" w:hAnsi="arial"/>
                <w:b/>
                <w:color w:val="B99C16"/>
                <w:sz w:val="32"/>
              </w:rPr>
              <w:t>FOR”</w:t>
            </w:r>
            <w:r>
              <w:rPr>
                <w:rFonts w:ascii="arial" w:hAnsi="arial"/>
                <w:b/>
                <w:color w:val="004876"/>
                <w:sz w:val="24"/>
              </w:rPr>
              <w:t> the</w:t>
            </w:r>
          </w:p>
          <w:p>
            <w:pPr>
              <w:pStyle w:val="TableContents"/>
              <w:bidi w:val="0"/>
              <w:spacing w:before="0" w:after="20"/>
              <w:jc w:val="left"/>
              <w:rPr>
                <w:rFonts w:ascii="arial" w:hAnsi="arial"/>
                <w:b/>
                <w:color w:val="004876"/>
                <w:sz w:val="24"/>
              </w:rPr>
            </w:pPr>
            <w:r>
              <w:rPr>
                <w:rFonts w:ascii="arial" w:hAnsi="arial"/>
                <w:b/>
                <w:color w:val="004876"/>
                <w:sz w:val="24"/>
              </w:rPr>
              <w:t>election of each director in Class III named below.</w:t>
            </w:r>
          </w:p>
        </w:tc>
      </w:tr>
    </w:tbl>
    <w:p>
      <w:pPr>
        <w:pStyle w:val="TextBody"/>
        <w:bidi w:val="0"/>
        <w:spacing w:before="0" w:after="0"/>
        <w:jc w:val="left"/>
        <w:rPr/>
      </w:pPr>
      <w:r>
        <w:rPr/>
        <w:t> </w:t>
      </w:r>
    </w:p>
    <w:tbl>
      <w:tblPr>
        <w:tblW w:w="4733" w:type="dxa"/>
        <w:jc w:val="left"/>
        <w:tblInd w:w="0" w:type="dxa"/>
        <w:tblLayout w:type="fixed"/>
        <w:tblCellMar>
          <w:top w:w="0" w:type="dxa"/>
          <w:left w:w="0" w:type="dxa"/>
          <w:bottom w:w="0" w:type="dxa"/>
          <w:right w:w="0" w:type="dxa"/>
        </w:tblCellMar>
      </w:tblPr>
      <w:tblGrid>
        <w:gridCol w:w="140"/>
        <w:gridCol w:w="60"/>
        <w:gridCol w:w="2638"/>
        <w:gridCol w:w="60"/>
        <w:gridCol w:w="1835"/>
      </w:tblGrid>
      <w:tr>
        <w:trPr/>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140"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8</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Election of Directors (Proposal No. 1)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004876"/>
          <w:sz w:val="20"/>
        </w:rPr>
      </w:pPr>
      <w:bookmarkStart w:id="10" w:name="toc123994_8"/>
      <w:bookmarkEnd w:id="10"/>
      <w:r>
        <w:rPr>
          <w:rFonts w:ascii="arial" w:hAnsi="arial"/>
          <w:b/>
          <w:color w:val="004876"/>
          <w:sz w:val="20"/>
        </w:rPr>
        <w:t xml:space="preserve">Election of Directors </w:t>
      </w:r>
    </w:p>
    <w:p>
      <w:pPr>
        <w:pStyle w:val="TextBody"/>
        <w:bidi w:val="0"/>
        <w:spacing w:before="120" w:after="0"/>
        <w:jc w:val="left"/>
        <w:rPr>
          <w:rFonts w:ascii="arial" w:hAnsi="arial"/>
          <w:sz w:val="20"/>
        </w:rPr>
      </w:pPr>
      <w:r>
        <w:rPr>
          <w:rFonts w:ascii="arial" w:hAnsi="arial"/>
          <w:sz w:val="20"/>
        </w:rPr>
        <w:t xml:space="preserve">The following table sets forth information relating to the Class III director nominees of the Company who are proposed to the shareholders for election to serve as directors for a term of three (3) years, expiring at the 2029 annual meeting of shareholders, and thereafter until their respective successors shall be duly elected and qualified or until the earlier of their resignation, death or removal. </w:t>
      </w:r>
    </w:p>
    <w:p>
      <w:pPr>
        <w:pStyle w:val="TextBody"/>
        <w:bidi w:val="0"/>
        <w:spacing w:before="240" w:after="0"/>
        <w:jc w:val="center"/>
        <w:rPr>
          <w:rFonts w:ascii="arial" w:hAnsi="arial"/>
          <w:b/>
          <w:sz w:val="20"/>
        </w:rPr>
      </w:pPr>
      <w:r>
        <w:rPr>
          <w:rFonts w:ascii="arial" w:hAnsi="arial"/>
          <w:b/>
          <w:sz w:val="20"/>
        </w:rPr>
        <w:t xml:space="preserve">Class III—Nominated for Terms Expiring in 2029(1)(2)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50"/>
        <w:gridCol w:w="120"/>
        <w:gridCol w:w="8635"/>
      </w:tblGrid>
      <w:tr>
        <w:trPr/>
        <w:tc>
          <w:tcPr>
            <w:tcW w:w="1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3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876"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876" w:val="clear"/>
            <w:vAlign w:val="center"/>
          </w:tcPr>
          <w:p>
            <w:pPr>
              <w:pStyle w:val="TableContents"/>
              <w:bidi w:val="0"/>
              <w:spacing w:before="0" w:after="283"/>
              <w:jc w:val="left"/>
              <w:rPr>
                <w:color w:val="FFFFFF"/>
              </w:rPr>
            </w:pPr>
            <w:r>
              <w:rPr>
                <w:color w:val="FFFFFF"/>
              </w:rPr>
              <w:t> </w:t>
            </w:r>
            <w:r>
              <w:rPr>
                <w:b/>
                <w:color w:val="FFFFFF"/>
              </w:rPr>
              <w:t>Douglas C. Grissom</w:t>
            </w:r>
          </w:p>
        </w:tc>
      </w:tr>
      <w:tr>
        <w:trPr/>
        <w:tc>
          <w:tcPr>
            <w:tcW w:w="1450"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896620" cy="11430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896620" cy="1143000"/>
                          </a:xfrm>
                          <a:prstGeom prst="rect">
                            <a:avLst/>
                          </a:prstGeom>
                        </pic:spPr>
                      </pic:pic>
                    </a:graphicData>
                  </a:graphic>
                </wp:inline>
              </w:drawing>
            </w:r>
            <w:r>
              <w:rPr/>
              <w:t xml:space="preserve"> </w:t>
            </w:r>
          </w:p>
          <w:p>
            <w:pPr>
              <w:pStyle w:val="TableContents"/>
              <w:bidi w:val="0"/>
              <w:spacing w:before="0" w:after="0"/>
              <w:jc w:val="center"/>
              <w:rPr>
                <w:rFonts w:ascii="arial" w:hAnsi="arial"/>
                <w:color w:val="004876"/>
                <w:sz w:val="20"/>
              </w:rPr>
            </w:pPr>
            <w:r>
              <w:rPr>
                <w:rFonts w:ascii="arial" w:hAnsi="arial"/>
                <w:color w:val="004876"/>
                <w:sz w:val="20"/>
              </w:rPr>
              <w:t>Age: 58</w:t>
            </w:r>
          </w:p>
          <w:p>
            <w:pPr>
              <w:pStyle w:val="TableContents"/>
              <w:bidi w:val="0"/>
              <w:spacing w:before="0" w:after="20"/>
              <w:jc w:val="center"/>
              <w:rPr>
                <w:rFonts w:ascii="arial" w:hAnsi="arial"/>
                <w:color w:val="004876"/>
                <w:sz w:val="20"/>
              </w:rPr>
            </w:pPr>
            <w:r>
              <w:rPr>
                <w:rFonts w:ascii="arial" w:hAnsi="arial"/>
                <w:color w:val="004876"/>
                <w:sz w:val="20"/>
              </w:rPr>
              <w:t>Director since 2017</w:t>
            </w:r>
          </w:p>
        </w:tc>
        <w:tc>
          <w:tcPr>
            <w:tcW w:w="120" w:type="dxa"/>
            <w:tcBorders/>
            <w:vAlign w:val="center"/>
          </w:tcPr>
          <w:p>
            <w:pPr>
              <w:pStyle w:val="TableContents"/>
              <w:bidi w:val="0"/>
              <w:spacing w:before="0" w:after="283"/>
              <w:jc w:val="left"/>
              <w:rPr/>
            </w:pPr>
            <w:r>
              <w:rPr/>
              <w:t>  </w:t>
            </w:r>
          </w:p>
        </w:tc>
        <w:tc>
          <w:tcPr>
            <w:tcW w:w="863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4876"/>
                <w:sz w:val="20"/>
              </w:rPr>
            </w:pPr>
            <w:r>
              <w:rPr>
                <w:rFonts w:ascii="arial" w:hAnsi="arial"/>
                <w:b/>
                <w:color w:val="004876"/>
                <w:sz w:val="20"/>
              </w:rPr>
              <w:t>Background, Skills and Experience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Mr. Grissom is a Senior Advisor on Madison Dearborn Partners’ (“MDP”) Technology &amp; Government Solutions team. Prior to February 2024, Mr. Grissom served as a Managing Director on MDP’s Business &amp; Government Software and Services team. Prior to joining MDP, he was with Bain Capital, McKinsey &amp; Company, and Goldman Sachs. Through MDP, Doug has previously served on the Board of Directors at @stake, Aderant, Asurion, BlueCat Networks, Cbeyond, CoVant Technologies, Fieldglass, Fleet Complete, Great Lakes Dredge &amp; Dock, Intelsat, LGS Innovations, Lightspeed Systems, LinQuest Corporation, and Neoworld. Outside MDP, he is a Board Member at Amherst College, Endeavor Southeast, Harvard Business School Fund Council, Harvard Business School Midwest Advisory Board, James Graham Brown Foundation, Kentucky Squash Racquets Association, Louisville Brands, Louisville Squash Plus, Princeton Theological Seminary, and the West End School.</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Qualifications and Experience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Mr. Grissom has extensive financial and board experience within a variety of industries. Mr. Grissom also has extensive private equity, mergers and acquisitions, and finance experience through his years of experience as an investment banker, consultant, and investor.</w:t>
            </w:r>
          </w:p>
        </w:tc>
      </w:tr>
      <w:tr>
        <w:trPr/>
        <w:tc>
          <w:tcPr>
            <w:tcW w:w="1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35" w:type="dxa"/>
            <w:tcBorders/>
            <w:vAlign w:val="center"/>
          </w:tcPr>
          <w:p>
            <w:pPr>
              <w:pStyle w:val="TableContents"/>
              <w:bidi w:val="0"/>
              <w:spacing w:before="0" w:after="283"/>
              <w:jc w:val="left"/>
              <w:rPr/>
            </w:pPr>
            <w:r>
              <w:rPr/>
              <w:t> </w:t>
            </w:r>
          </w:p>
        </w:tc>
      </w:tr>
      <w:tr>
        <w:trPr/>
        <w:tc>
          <w:tcPr>
            <w:tcW w:w="10205" w:type="dxa"/>
            <w:gridSpan w:val="3"/>
            <w:tcBorders/>
            <w:shd w:fill="004876"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876" w:val="clear"/>
            <w:vAlign w:val="center"/>
          </w:tcPr>
          <w:p>
            <w:pPr>
              <w:pStyle w:val="TableContents"/>
              <w:bidi w:val="0"/>
              <w:spacing w:before="0" w:after="283"/>
              <w:jc w:val="left"/>
              <w:rPr>
                <w:color w:val="FFFFFF"/>
              </w:rPr>
            </w:pPr>
            <w:r>
              <w:rPr>
                <w:color w:val="FFFFFF"/>
              </w:rPr>
              <w:t> </w:t>
            </w:r>
            <w:r>
              <w:rPr>
                <w:b/>
                <w:color w:val="FFFFFF"/>
              </w:rPr>
              <w:t>Daniel P. Harrington</w:t>
            </w:r>
          </w:p>
        </w:tc>
      </w:tr>
      <w:tr>
        <w:trPr/>
        <w:tc>
          <w:tcPr>
            <w:tcW w:w="1450"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893445" cy="114300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893445" cy="1143000"/>
                          </a:xfrm>
                          <a:prstGeom prst="rect">
                            <a:avLst/>
                          </a:prstGeom>
                        </pic:spPr>
                      </pic:pic>
                    </a:graphicData>
                  </a:graphic>
                </wp:inline>
              </w:drawing>
            </w:r>
            <w:r>
              <w:rPr/>
              <w:t xml:space="preserve"> </w:t>
            </w:r>
          </w:p>
          <w:p>
            <w:pPr>
              <w:pStyle w:val="TableContents"/>
              <w:bidi w:val="0"/>
              <w:spacing w:before="0" w:after="0"/>
              <w:jc w:val="center"/>
              <w:rPr>
                <w:rFonts w:ascii="arial" w:hAnsi="arial"/>
                <w:color w:val="004876"/>
                <w:sz w:val="20"/>
              </w:rPr>
            </w:pPr>
            <w:r>
              <w:rPr>
                <w:rFonts w:ascii="arial" w:hAnsi="arial"/>
                <w:color w:val="004876"/>
                <w:sz w:val="20"/>
              </w:rPr>
              <w:t>Age: 70</w:t>
            </w:r>
          </w:p>
          <w:p>
            <w:pPr>
              <w:pStyle w:val="TableContents"/>
              <w:bidi w:val="0"/>
              <w:spacing w:before="0" w:after="20"/>
              <w:jc w:val="center"/>
              <w:rPr>
                <w:rFonts w:ascii="arial" w:hAnsi="arial"/>
                <w:color w:val="004876"/>
                <w:sz w:val="20"/>
              </w:rPr>
            </w:pPr>
            <w:r>
              <w:rPr>
                <w:rFonts w:ascii="arial" w:hAnsi="arial"/>
                <w:color w:val="004876"/>
                <w:sz w:val="20"/>
              </w:rPr>
              <w:t>Director since 1998</w:t>
            </w:r>
          </w:p>
        </w:tc>
        <w:tc>
          <w:tcPr>
            <w:tcW w:w="120" w:type="dxa"/>
            <w:tcBorders/>
            <w:vAlign w:val="center"/>
          </w:tcPr>
          <w:p>
            <w:pPr>
              <w:pStyle w:val="TableContents"/>
              <w:bidi w:val="0"/>
              <w:spacing w:before="0" w:after="283"/>
              <w:jc w:val="left"/>
              <w:rPr/>
            </w:pPr>
            <w:r>
              <w:rPr/>
              <w:t>  </w:t>
            </w:r>
          </w:p>
        </w:tc>
        <w:tc>
          <w:tcPr>
            <w:tcW w:w="863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4876"/>
                <w:sz w:val="20"/>
              </w:rPr>
            </w:pPr>
            <w:r>
              <w:rPr>
                <w:rFonts w:ascii="arial" w:hAnsi="arial"/>
                <w:b/>
                <w:color w:val="004876"/>
                <w:sz w:val="20"/>
              </w:rPr>
              <w:t>Background, Skills and Experience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Mr. Harrington serves as the President and Chief Executive Officer of HTV Industries, Inc., a private holding company with diversified business interests that include manufacturing, distribution, technology, and banking. Mr. Harrington also serves as a Trustee of The Veale Foundation. Previously, Mr. Harrington has served as a Director of First Guaranty Bank, First State Financial Corporation, and Portec Rail Products, Inc. (serving on its Audit and Compensation Committees).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Qualifications and Experience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Mr. Harrington has extensive financial, accounting, and chief executive experience within a variety of industries. He also has board, compensation, and audit experience, including serving for years as the Audit Chair for the Company and qualifies as an Audit Committee Financial Expert.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left"/>
              <w:rPr>
                <w:rFonts w:ascii="arial" w:hAnsi="arial"/>
                <w:sz w:val="18"/>
              </w:rPr>
            </w:pPr>
            <w:r>
              <w:rPr>
                <w:rFonts w:ascii="arial" w:hAnsi="arial"/>
                <w:sz w:val="18"/>
              </w:rPr>
              <w:t xml:space="preserve">Except as noted with respect to Mr. Grissom, there has been no change in principal occupation or employment of any Class III director during the past 5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arial" w:hAnsi="arial"/>
                <w:sz w:val="18"/>
              </w:rPr>
            </w:pPr>
            <w:r>
              <w:rPr>
                <w:rFonts w:ascii="arial" w:hAnsi="arial"/>
                <w:sz w:val="18"/>
              </w:rPr>
              <w:t xml:space="preserve">Summaries above include directorships at any time within the last 5 years in companies with a class of securities registered pursuant to Section 12 of the Securities Exchange Act of 1934, as amended (the “Exchange Act”), subject to the requirements of Section 15(d) of the Exchange Act or companies registered under the Investment Company Act of 1940 and, in the case of certain nominees, other present or former directorships or positions considered significant by them. </w:t>
            </w:r>
          </w:p>
        </w:tc>
      </w:tr>
    </w:tbl>
    <w:p>
      <w:pPr>
        <w:pStyle w:val="TextBody"/>
        <w:bidi w:val="0"/>
        <w:spacing w:before="240" w:after="0"/>
        <w:jc w:val="left"/>
        <w:rPr>
          <w:rFonts w:ascii="arial" w:hAnsi="arial"/>
          <w:sz w:val="20"/>
        </w:rPr>
      </w:pPr>
      <w:r>
        <w:rPr>
          <w:rFonts w:ascii="arial" w:hAnsi="arial"/>
          <w:sz w:val="20"/>
        </w:rPr>
        <w:t xml:space="preserve">The Board of Directors has no reason to believe that any of the nominees will be unavailable to serve as a director. If any nominee should become unavailable before the Annual Meeting, the persons named in the proxy, or their substitutes, reserve the right to vote for substitute nominees selected by the Board of Directors. </w:t>
      </w:r>
    </w:p>
    <w:p>
      <w:pPr>
        <w:pStyle w:val="TextBody"/>
        <w:bidi w:val="0"/>
        <w:spacing w:before="0" w:after="0"/>
        <w:jc w:val="left"/>
        <w:rPr/>
      </w:pPr>
      <w:r>
        <w:rPr/>
        <w:t> </w:t>
      </w:r>
    </w:p>
    <w:tbl>
      <w:tblPr>
        <w:tblW w:w="4733" w:type="dxa"/>
        <w:jc w:val="left"/>
        <w:tblInd w:w="0" w:type="dxa"/>
        <w:tblLayout w:type="fixed"/>
        <w:tblCellMar>
          <w:top w:w="0" w:type="dxa"/>
          <w:left w:w="0" w:type="dxa"/>
          <w:bottom w:w="0" w:type="dxa"/>
          <w:right w:w="0" w:type="dxa"/>
        </w:tblCellMar>
      </w:tblPr>
      <w:tblGrid>
        <w:gridCol w:w="1835"/>
        <w:gridCol w:w="60"/>
        <w:gridCol w:w="2638"/>
        <w:gridCol w:w="60"/>
        <w:gridCol w:w="140"/>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Election of Directors (Proposal No. 1)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004876"/>
          <w:sz w:val="20"/>
        </w:rPr>
      </w:pPr>
      <w:bookmarkStart w:id="11" w:name="toc123994_9"/>
      <w:bookmarkEnd w:id="11"/>
      <w:r>
        <w:rPr>
          <w:rFonts w:ascii="arial" w:hAnsi="arial"/>
          <w:b/>
          <w:color w:val="004876"/>
          <w:sz w:val="20"/>
        </w:rPr>
        <w:t xml:space="preserve">Continuing Directors </w:t>
      </w:r>
    </w:p>
    <w:p>
      <w:pPr>
        <w:pStyle w:val="TextBody"/>
        <w:bidi w:val="0"/>
        <w:spacing w:before="120" w:after="0"/>
        <w:jc w:val="left"/>
        <w:rPr>
          <w:rFonts w:ascii="arial" w:hAnsi="arial"/>
          <w:sz w:val="20"/>
        </w:rPr>
      </w:pPr>
      <w:r>
        <w:rPr>
          <w:rFonts w:ascii="arial" w:hAnsi="arial"/>
          <w:sz w:val="20"/>
        </w:rPr>
        <w:t xml:space="preserve">The following tables set forth information relating to the Class I and Class II directors of the Company who will continue to serve as directors until the expiration of their respective terms of office and until their respective successors are duly elected and qualified. </w:t>
      </w:r>
    </w:p>
    <w:p>
      <w:pPr>
        <w:pStyle w:val="TextBody"/>
        <w:bidi w:val="0"/>
        <w:spacing w:before="240" w:after="0"/>
        <w:jc w:val="center"/>
        <w:rPr>
          <w:rFonts w:ascii="arial" w:hAnsi="arial"/>
          <w:b/>
          <w:sz w:val="20"/>
        </w:rPr>
      </w:pPr>
      <w:r>
        <w:rPr>
          <w:rFonts w:ascii="arial" w:hAnsi="arial"/>
          <w:b/>
          <w:sz w:val="20"/>
        </w:rPr>
        <w:t xml:space="preserve">Class I—Terms Expiring in 2027(1)(2)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45"/>
        <w:gridCol w:w="120"/>
        <w:gridCol w:w="8640"/>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4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876"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876" w:val="clear"/>
            <w:vAlign w:val="center"/>
          </w:tcPr>
          <w:p>
            <w:pPr>
              <w:pStyle w:val="TableContents"/>
              <w:bidi w:val="0"/>
              <w:spacing w:before="0" w:after="283"/>
              <w:jc w:val="left"/>
              <w:rPr>
                <w:color w:val="FFFFFF"/>
              </w:rPr>
            </w:pPr>
            <w:r>
              <w:rPr>
                <w:color w:val="FFFFFF"/>
              </w:rPr>
              <w:t> </w:t>
            </w:r>
            <w:r>
              <w:rPr>
                <w:b/>
                <w:color w:val="FFFFFF"/>
              </w:rPr>
              <w:t>William C. Carstanjen</w:t>
            </w:r>
          </w:p>
        </w:tc>
      </w:tr>
      <w:tr>
        <w:trPr/>
        <w:tc>
          <w:tcPr>
            <w:tcW w:w="1445"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895985" cy="114300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895985" cy="1143000"/>
                          </a:xfrm>
                          <a:prstGeom prst="rect">
                            <a:avLst/>
                          </a:prstGeom>
                        </pic:spPr>
                      </pic:pic>
                    </a:graphicData>
                  </a:graphic>
                </wp:inline>
              </w:drawing>
            </w:r>
            <w:r>
              <w:rPr/>
              <w:t xml:space="preserve"> </w:t>
            </w:r>
          </w:p>
          <w:p>
            <w:pPr>
              <w:pStyle w:val="TableContents"/>
              <w:bidi w:val="0"/>
              <w:spacing w:before="0" w:after="0"/>
              <w:jc w:val="center"/>
              <w:rPr>
                <w:rFonts w:ascii="arial" w:hAnsi="arial"/>
                <w:color w:val="004876"/>
                <w:sz w:val="20"/>
              </w:rPr>
            </w:pPr>
            <w:r>
              <w:rPr>
                <w:rFonts w:ascii="arial" w:hAnsi="arial"/>
                <w:color w:val="004876"/>
                <w:sz w:val="20"/>
              </w:rPr>
              <w:t>Age: 58</w:t>
            </w:r>
          </w:p>
          <w:p>
            <w:pPr>
              <w:pStyle w:val="TableContents"/>
              <w:bidi w:val="0"/>
              <w:spacing w:before="0" w:after="20"/>
              <w:jc w:val="center"/>
              <w:rPr>
                <w:rFonts w:ascii="arial" w:hAnsi="arial"/>
                <w:color w:val="004876"/>
                <w:sz w:val="20"/>
              </w:rPr>
            </w:pPr>
            <w:r>
              <w:rPr>
                <w:rFonts w:ascii="arial" w:hAnsi="arial"/>
                <w:color w:val="004876"/>
                <w:sz w:val="20"/>
              </w:rPr>
              <w:t>Director since 2015</w:t>
            </w:r>
          </w:p>
        </w:tc>
        <w:tc>
          <w:tcPr>
            <w:tcW w:w="120" w:type="dxa"/>
            <w:tcBorders/>
            <w:vAlign w:val="center"/>
          </w:tcPr>
          <w:p>
            <w:pPr>
              <w:pStyle w:val="TableContents"/>
              <w:bidi w:val="0"/>
              <w:spacing w:before="0" w:after="283"/>
              <w:jc w:val="left"/>
              <w:rPr/>
            </w:pPr>
            <w:r>
              <w:rPr/>
              <w:t>  </w:t>
            </w:r>
          </w:p>
        </w:tc>
        <w:tc>
          <w:tcPr>
            <w:tcW w:w="864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4876"/>
                <w:sz w:val="20"/>
              </w:rPr>
            </w:pPr>
            <w:r>
              <w:rPr>
                <w:rFonts w:ascii="arial" w:hAnsi="arial"/>
                <w:b/>
                <w:color w:val="004876"/>
                <w:sz w:val="20"/>
              </w:rPr>
              <w:t>Background, Skills and Experience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Mr. Carstanjen was named the Company’s twelfth Chief Executive Officer in August 2014 and appointed to the Board of Directors in July 2015. Mr. Carstanjen served as the Company’s President and Chief Operating Officer (2011-2014), the Company’s Chief Operating Officer (2009-2011) and as Executive Vice President, General Counsel and Chief Development Officer for the Company (2005-2009). Mr. Carstanjen joined the Company in July 2005 after serving as an executive with General Electric Company. Mr. Carstanjen began his career as an attorney with Cravath, Swaine &amp; Moore LLP in New York City, specializing in mergers and acquisitions, corporate finance, and corporate governance. Mr. Carstanjen brings a wealth of experience and knowledge to his leadership role at the Company. Throughout his tenure, Mr. Carstanjen has led the Company’s diversification strategy into its online business lines, historical horse racing operations and regional casino gaming, as well as led the growth of the Kentucky Oaks and Kentucky Derby events. Mr. Carstanjen is a Director of Glenview Trust Company and the American Gaming Association.</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Qualifications and Experience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Mr. Carstanjen has many years of leadership, strategy, mergers and acquisition, corporate finance, corporate governance and legal experience. He brings a wealth of experience and knowledge through his leadership roles at the Company.</w:t>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40" w:type="dxa"/>
            <w:tcBorders/>
            <w:vAlign w:val="center"/>
          </w:tcPr>
          <w:p>
            <w:pPr>
              <w:pStyle w:val="TableContents"/>
              <w:bidi w:val="0"/>
              <w:spacing w:before="0" w:after="283"/>
              <w:jc w:val="left"/>
              <w:rPr/>
            </w:pPr>
            <w:r>
              <w:rPr/>
              <w:t> </w:t>
            </w:r>
          </w:p>
        </w:tc>
      </w:tr>
      <w:tr>
        <w:trPr/>
        <w:tc>
          <w:tcPr>
            <w:tcW w:w="10205" w:type="dxa"/>
            <w:gridSpan w:val="3"/>
            <w:tcBorders/>
            <w:shd w:fill="004876"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876" w:val="clear"/>
            <w:vAlign w:val="center"/>
          </w:tcPr>
          <w:p>
            <w:pPr>
              <w:pStyle w:val="TableContents"/>
              <w:bidi w:val="0"/>
              <w:spacing w:before="0" w:after="283"/>
              <w:jc w:val="left"/>
              <w:rPr>
                <w:color w:val="FFFFFF"/>
              </w:rPr>
            </w:pPr>
            <w:r>
              <w:rPr>
                <w:color w:val="FFFFFF"/>
              </w:rPr>
              <w:t> </w:t>
            </w:r>
            <w:r>
              <w:rPr>
                <w:b/>
                <w:color w:val="FFFFFF"/>
              </w:rPr>
              <w:t>Karole F. Lloyd</w:t>
            </w:r>
          </w:p>
        </w:tc>
      </w:tr>
      <w:tr>
        <w:trPr/>
        <w:tc>
          <w:tcPr>
            <w:tcW w:w="1445"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897255" cy="114300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897255" cy="1143000"/>
                          </a:xfrm>
                          <a:prstGeom prst="rect">
                            <a:avLst/>
                          </a:prstGeom>
                        </pic:spPr>
                      </pic:pic>
                    </a:graphicData>
                  </a:graphic>
                </wp:inline>
              </w:drawing>
            </w:r>
            <w:r>
              <w:rPr/>
              <w:t xml:space="preserve"> </w:t>
            </w:r>
          </w:p>
          <w:p>
            <w:pPr>
              <w:pStyle w:val="TableContents"/>
              <w:bidi w:val="0"/>
              <w:spacing w:before="0" w:after="0"/>
              <w:jc w:val="center"/>
              <w:rPr>
                <w:rFonts w:ascii="arial" w:hAnsi="arial"/>
                <w:color w:val="004876"/>
                <w:sz w:val="20"/>
              </w:rPr>
            </w:pPr>
            <w:r>
              <w:rPr>
                <w:rFonts w:ascii="arial" w:hAnsi="arial"/>
                <w:color w:val="004876"/>
                <w:sz w:val="20"/>
              </w:rPr>
              <w:t>Age: 67</w:t>
            </w:r>
          </w:p>
          <w:p>
            <w:pPr>
              <w:pStyle w:val="TableContents"/>
              <w:bidi w:val="0"/>
              <w:spacing w:before="0" w:after="20"/>
              <w:jc w:val="center"/>
              <w:rPr>
                <w:rFonts w:ascii="arial" w:hAnsi="arial"/>
                <w:color w:val="004876"/>
                <w:sz w:val="20"/>
              </w:rPr>
            </w:pPr>
            <w:r>
              <w:rPr>
                <w:rFonts w:ascii="arial" w:hAnsi="arial"/>
                <w:color w:val="004876"/>
                <w:sz w:val="20"/>
              </w:rPr>
              <w:t>Director since 2018</w:t>
            </w:r>
          </w:p>
        </w:tc>
        <w:tc>
          <w:tcPr>
            <w:tcW w:w="120" w:type="dxa"/>
            <w:tcBorders/>
            <w:vAlign w:val="center"/>
          </w:tcPr>
          <w:p>
            <w:pPr>
              <w:pStyle w:val="TableContents"/>
              <w:bidi w:val="0"/>
              <w:spacing w:before="0" w:after="283"/>
              <w:jc w:val="left"/>
              <w:rPr/>
            </w:pPr>
            <w:r>
              <w:rPr/>
              <w:t>  </w:t>
            </w:r>
          </w:p>
        </w:tc>
        <w:tc>
          <w:tcPr>
            <w:tcW w:w="864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4876"/>
                <w:sz w:val="20"/>
              </w:rPr>
            </w:pPr>
            <w:r>
              <w:rPr>
                <w:rFonts w:ascii="arial" w:hAnsi="arial"/>
                <w:b/>
                <w:color w:val="004876"/>
                <w:sz w:val="20"/>
              </w:rPr>
              <w:t>Background, Skills and Experience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Mrs. Lloyd was elected to the Board of Directors in 2018 and serves as Chair of the Audit Committee and a member of the Nomination and Governance Committee. Mrs. Lloyd has served on the Board of Directors of Aflac Inc. since January 2017 and is chair of the Audit and Risk Committee and a member of the Executive Committee, Finance and Investment Committee, and Corporate Development Committee of the Aflac Inc. Board of Directors. Mrs. Lloyd is the retired Vice Chair and Southeast Regional Managing Partner for Ernst &amp; Young LLP (“EY”). From 2009 through 2016, she served as a member of the US Executive Board, Americas Operating Executive, and the Global Practice Group for EY. In her 37-year career at EY, Mrs. Lloyd served many of EY’s clients through mergers, IPOs, acquisitions, divestitures, and across numerous industries including banking, insurance, consumer products, healthcare, transportation, real estate, manufacturing, and retail. Mrs. Lloyd has been active in the Atlanta community, working with the Metro Atlanta Chamber of Commerce and The Rotary Club of Atlanta. She was previously the Chair of the Atlanta Symphony Orchestra Board of Directors. Mrs. Lloyd is active in supporting many colleges and universities throughout the southeast, including serving on the President’s Advisory Council and the Board of Visitors at the University of Alabama. Mrs. Lloyd received her NACD cyber-risk oversight certification in 2022.</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Qualifications and Experience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Ms. Lloyd has extensive accounting and advisory experience that includes financial reporting, regulatory compliance, internal audit, and risk management to go along with her leadership skills. She also brings experience from serving as a public company board member and qualifies as an Audit Committee Financial Expert.</w:t>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4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10</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Election of Directors (Proposal No. 1)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60"/>
        <w:gridCol w:w="120"/>
        <w:gridCol w:w="8625"/>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2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876"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876" w:val="clear"/>
            <w:vAlign w:val="center"/>
          </w:tcPr>
          <w:p>
            <w:pPr>
              <w:pStyle w:val="TableContents"/>
              <w:bidi w:val="0"/>
              <w:spacing w:before="0" w:after="283"/>
              <w:jc w:val="left"/>
              <w:rPr>
                <w:color w:val="FFFFFF"/>
              </w:rPr>
            </w:pPr>
            <w:r>
              <w:rPr>
                <w:color w:val="FFFFFF"/>
              </w:rPr>
              <w:t> </w:t>
            </w:r>
            <w:r>
              <w:rPr>
                <w:b/>
                <w:color w:val="FFFFFF"/>
              </w:rPr>
              <w:t>Paul C. Varga</w:t>
            </w:r>
          </w:p>
        </w:tc>
      </w:tr>
      <w:tr>
        <w:trPr/>
        <w:tc>
          <w:tcPr>
            <w:tcW w:w="1460"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897255" cy="114300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897255" cy="1143000"/>
                          </a:xfrm>
                          <a:prstGeom prst="rect">
                            <a:avLst/>
                          </a:prstGeom>
                        </pic:spPr>
                      </pic:pic>
                    </a:graphicData>
                  </a:graphic>
                </wp:inline>
              </w:drawing>
            </w:r>
            <w:r>
              <w:rPr/>
              <w:t xml:space="preserve"> </w:t>
            </w:r>
          </w:p>
          <w:p>
            <w:pPr>
              <w:pStyle w:val="TableContents"/>
              <w:bidi w:val="0"/>
              <w:spacing w:before="0" w:after="0"/>
              <w:jc w:val="center"/>
              <w:rPr>
                <w:rFonts w:ascii="arial" w:hAnsi="arial"/>
                <w:color w:val="004876"/>
                <w:sz w:val="20"/>
              </w:rPr>
            </w:pPr>
            <w:r>
              <w:rPr>
                <w:rFonts w:ascii="arial" w:hAnsi="arial"/>
                <w:color w:val="004876"/>
                <w:sz w:val="20"/>
              </w:rPr>
              <w:t>Age: 62</w:t>
            </w:r>
          </w:p>
          <w:p>
            <w:pPr>
              <w:pStyle w:val="TableContents"/>
              <w:bidi w:val="0"/>
              <w:spacing w:before="0" w:after="20"/>
              <w:jc w:val="center"/>
              <w:rPr>
                <w:rFonts w:ascii="arial" w:hAnsi="arial"/>
                <w:color w:val="004876"/>
                <w:sz w:val="20"/>
              </w:rPr>
            </w:pPr>
            <w:r>
              <w:rPr>
                <w:rFonts w:ascii="arial" w:hAnsi="arial"/>
                <w:color w:val="004876"/>
                <w:sz w:val="20"/>
              </w:rPr>
              <w:t>Director since 2020</w:t>
            </w:r>
          </w:p>
        </w:tc>
        <w:tc>
          <w:tcPr>
            <w:tcW w:w="120" w:type="dxa"/>
            <w:tcBorders/>
            <w:vAlign w:val="center"/>
          </w:tcPr>
          <w:p>
            <w:pPr>
              <w:pStyle w:val="TableContents"/>
              <w:bidi w:val="0"/>
              <w:spacing w:before="0" w:after="283"/>
              <w:jc w:val="left"/>
              <w:rPr/>
            </w:pPr>
            <w:r>
              <w:rPr/>
              <w:t>  </w:t>
            </w:r>
          </w:p>
        </w:tc>
        <w:tc>
          <w:tcPr>
            <w:tcW w:w="86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4876"/>
                <w:sz w:val="20"/>
              </w:rPr>
            </w:pPr>
            <w:r>
              <w:rPr>
                <w:rFonts w:ascii="arial" w:hAnsi="arial"/>
                <w:b/>
                <w:color w:val="004876"/>
                <w:sz w:val="20"/>
              </w:rPr>
              <w:t>Background, Skills and Experience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Mr. Varga was appointed to the Board of Directors on February 25, 2020. Mr. Varga served as the Chairman and Chief Executive Officer of Brown-Forman Corporation, a public global spirits and wine company, from August 2007 until his retirement in December 2018. He served as President and Chief Executive Officer of Brown-Forman Beverages, a division of Brown-Forman Corporation, from 2003 to 2007, and as Global Chief Marketing Officer for Brown-Forman Spirits from 2000 to 2003. Mr. Varga currently serves on the Board of Directors of Macy’s, Inc. as Lead Independent Director and as a member of both the Compensation and Management Development Committee and Finance Committee. He previously served on the Board of Directors of Brown-Forman Corporation from 2003 until July 2019.</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Qualifications and Experience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 addition to Mr. Varga’s many years of leadership experience in the role of chief executive officer and as a public company board member, he also has considerable expertise and experience in corporate finance, strategy, building brand awareness, product development, marketing, distribution, and sales.</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305"/>
        <w:gridCol w:w="9185"/>
      </w:tblGrid>
      <w:tr>
        <w:trPr/>
        <w:tc>
          <w:tcPr>
            <w:tcW w:w="305" w:type="dxa"/>
            <w:tcBorders/>
            <w:vAlign w:val="center"/>
          </w:tcPr>
          <w:p>
            <w:pPr>
              <w:pStyle w:val="TableContents"/>
              <w:bidi w:val="0"/>
              <w:spacing w:before="0" w:after="283"/>
              <w:jc w:val="left"/>
              <w:rPr/>
            </w:pPr>
            <w:r>
              <w:rPr/>
              <w:t>(1)</w:t>
            </w:r>
          </w:p>
        </w:tc>
        <w:tc>
          <w:tcPr>
            <w:tcW w:w="9185" w:type="dxa"/>
            <w:tcBorders/>
            <w:vAlign w:val="center"/>
          </w:tcPr>
          <w:p>
            <w:pPr>
              <w:pStyle w:val="TableContents"/>
              <w:bidi w:val="0"/>
              <w:spacing w:before="0" w:after="0"/>
              <w:jc w:val="left"/>
              <w:rPr>
                <w:rFonts w:ascii="arial" w:hAnsi="arial"/>
                <w:sz w:val="18"/>
              </w:rPr>
            </w:pPr>
            <w:r>
              <w:rPr>
                <w:rFonts w:ascii="arial" w:hAnsi="arial"/>
                <w:sz w:val="18"/>
              </w:rPr>
              <w:t xml:space="preserve">There has been no change in principal occupation or employment of any Class I director during the past 5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arial" w:hAnsi="arial"/>
                <w:sz w:val="18"/>
              </w:rPr>
            </w:pPr>
            <w:r>
              <w:rPr>
                <w:rFonts w:ascii="arial" w:hAnsi="arial"/>
                <w:sz w:val="18"/>
              </w:rPr>
              <w:t xml:space="preserve">Summaries above include directorships at any time within the last 5 years in companies with a class of securities registered pursuant to Section 12 of the Securities Exchange Act of 1934, as amended (the “Exchange Act”), subject to the requirements of Section 15(d) of the Exchange Act or companies registered under the Investment Company Act of 1940 and, in the case of certain nominees, other present or former directorships or positions considered significant by them. </w:t>
            </w:r>
          </w:p>
        </w:tc>
      </w:tr>
    </w:tbl>
    <w:p>
      <w:pPr>
        <w:pStyle w:val="TextBody"/>
        <w:bidi w:val="0"/>
        <w:spacing w:before="240" w:after="0"/>
        <w:jc w:val="center"/>
        <w:rPr>
          <w:rFonts w:ascii="arial" w:hAnsi="arial"/>
          <w:b/>
          <w:sz w:val="20"/>
        </w:rPr>
      </w:pPr>
      <w:r>
        <w:rPr>
          <w:rFonts w:ascii="arial" w:hAnsi="arial"/>
          <w:b/>
          <w:sz w:val="20"/>
        </w:rPr>
        <w:t>Class II—Terms Expiring in 2028(1)(2)</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50"/>
        <w:gridCol w:w="120"/>
        <w:gridCol w:w="8635"/>
      </w:tblGrid>
      <w:tr>
        <w:trPr/>
        <w:tc>
          <w:tcPr>
            <w:tcW w:w="1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3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876"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876" w:val="clear"/>
            <w:vAlign w:val="center"/>
          </w:tcPr>
          <w:p>
            <w:pPr>
              <w:pStyle w:val="TableContents"/>
              <w:bidi w:val="0"/>
              <w:spacing w:before="0" w:after="283"/>
              <w:jc w:val="left"/>
              <w:rPr>
                <w:color w:val="FFFFFF"/>
              </w:rPr>
            </w:pPr>
            <w:r>
              <w:rPr>
                <w:color w:val="FFFFFF"/>
              </w:rPr>
              <w:t> </w:t>
            </w:r>
            <w:r>
              <w:rPr>
                <w:b/>
                <w:color w:val="FFFFFF"/>
              </w:rPr>
              <w:t>R. Alex Rankin</w:t>
            </w:r>
          </w:p>
        </w:tc>
      </w:tr>
      <w:tr>
        <w:trPr/>
        <w:tc>
          <w:tcPr>
            <w:tcW w:w="1450"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897890" cy="114300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897890" cy="1143000"/>
                          </a:xfrm>
                          <a:prstGeom prst="rect">
                            <a:avLst/>
                          </a:prstGeom>
                        </pic:spPr>
                      </pic:pic>
                    </a:graphicData>
                  </a:graphic>
                </wp:inline>
              </w:drawing>
            </w:r>
            <w:r>
              <w:rPr/>
              <w:t xml:space="preserve"> </w:t>
            </w:r>
          </w:p>
          <w:p>
            <w:pPr>
              <w:pStyle w:val="TableContents"/>
              <w:bidi w:val="0"/>
              <w:spacing w:before="0" w:after="0"/>
              <w:jc w:val="center"/>
              <w:rPr>
                <w:rFonts w:ascii="arial" w:hAnsi="arial"/>
                <w:color w:val="004876"/>
                <w:sz w:val="20"/>
              </w:rPr>
            </w:pPr>
            <w:r>
              <w:rPr>
                <w:rFonts w:ascii="arial" w:hAnsi="arial"/>
                <w:color w:val="004876"/>
                <w:sz w:val="20"/>
              </w:rPr>
              <w:t>Age: 70</w:t>
            </w:r>
          </w:p>
          <w:p>
            <w:pPr>
              <w:pStyle w:val="TableContents"/>
              <w:bidi w:val="0"/>
              <w:spacing w:before="0" w:after="20"/>
              <w:jc w:val="center"/>
              <w:rPr>
                <w:rFonts w:ascii="arial" w:hAnsi="arial"/>
                <w:color w:val="004876"/>
                <w:sz w:val="20"/>
              </w:rPr>
            </w:pPr>
            <w:r>
              <w:rPr>
                <w:rFonts w:ascii="arial" w:hAnsi="arial"/>
                <w:color w:val="004876"/>
                <w:sz w:val="20"/>
              </w:rPr>
              <w:t>Director since 2008</w:t>
            </w:r>
          </w:p>
        </w:tc>
        <w:tc>
          <w:tcPr>
            <w:tcW w:w="120" w:type="dxa"/>
            <w:tcBorders/>
            <w:vAlign w:val="center"/>
          </w:tcPr>
          <w:p>
            <w:pPr>
              <w:pStyle w:val="TableContents"/>
              <w:bidi w:val="0"/>
              <w:spacing w:before="0" w:after="283"/>
              <w:jc w:val="left"/>
              <w:rPr/>
            </w:pPr>
            <w:r>
              <w:rPr/>
              <w:t>  </w:t>
            </w:r>
          </w:p>
        </w:tc>
        <w:tc>
          <w:tcPr>
            <w:tcW w:w="863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4876"/>
                <w:sz w:val="20"/>
              </w:rPr>
            </w:pPr>
            <w:r>
              <w:rPr>
                <w:rFonts w:ascii="arial" w:hAnsi="arial"/>
                <w:b/>
                <w:color w:val="004876"/>
                <w:sz w:val="20"/>
              </w:rPr>
              <w:t>Background, Skills and Experience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Mr. Rankin is the Chairman of the Board of Sterling G. Thompson Company, LLC, a private insurance agency and broker, and the President of Upson Downs Farm, Inc., a thoroughbred breeding and racing operation. He is also Vice Chairman and Director of Glenview Trust Company, a private Trust and Investment Management Company, and a member and former Steward of The Jockey Club. Mr. Rankin is a former Trustee and Chairman of the James Graham Brown Foundation, a private, non-profit foundation that fosters the well-being, quality of life, and image of Louisville and Kentucky by actively supporting and funding projects in the fields of civic affairs, economic development, education, and health and general welfare, which since 1954 has awarded over 3,200 grants totaling over $620 million.</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Qualifications and Experience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Mr. Rankin has expertise in finance and risk management. He also has years of experience in, and a deep understanding of, the thoroughbred horseracing industry.</w:t>
            </w:r>
          </w:p>
        </w:tc>
      </w:tr>
      <w:tr>
        <w:trPr/>
        <w:tc>
          <w:tcPr>
            <w:tcW w:w="1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35" w:type="dxa"/>
            <w:tcBorders/>
            <w:vAlign w:val="center"/>
          </w:tcPr>
          <w:p>
            <w:pPr>
              <w:pStyle w:val="TableContents"/>
              <w:bidi w:val="0"/>
              <w:spacing w:before="0" w:after="283"/>
              <w:jc w:val="left"/>
              <w:rPr/>
            </w:pPr>
            <w:r>
              <w:rPr/>
              <w:t> </w:t>
            </w:r>
          </w:p>
        </w:tc>
      </w:tr>
      <w:tr>
        <w:trPr/>
        <w:tc>
          <w:tcPr>
            <w:tcW w:w="10205" w:type="dxa"/>
            <w:gridSpan w:val="3"/>
            <w:tcBorders/>
            <w:shd w:fill="004876"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876" w:val="clear"/>
            <w:vAlign w:val="center"/>
          </w:tcPr>
          <w:p>
            <w:pPr>
              <w:pStyle w:val="TableContents"/>
              <w:bidi w:val="0"/>
              <w:spacing w:before="0" w:after="283"/>
              <w:jc w:val="left"/>
              <w:rPr>
                <w:color w:val="FFFFFF"/>
              </w:rPr>
            </w:pPr>
            <w:r>
              <w:rPr>
                <w:color w:val="FFFFFF"/>
              </w:rPr>
              <w:t> </w:t>
            </w:r>
            <w:r>
              <w:rPr>
                <w:b/>
                <w:color w:val="FFFFFF"/>
              </w:rPr>
              <w:t>Andréa Carter</w:t>
            </w:r>
          </w:p>
        </w:tc>
      </w:tr>
      <w:tr>
        <w:trPr/>
        <w:tc>
          <w:tcPr>
            <w:tcW w:w="1450"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899160" cy="114300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899160" cy="1143000"/>
                          </a:xfrm>
                          <a:prstGeom prst="rect">
                            <a:avLst/>
                          </a:prstGeom>
                        </pic:spPr>
                      </pic:pic>
                    </a:graphicData>
                  </a:graphic>
                </wp:inline>
              </w:drawing>
            </w:r>
            <w:r>
              <w:rPr/>
              <w:t xml:space="preserve"> </w:t>
            </w:r>
          </w:p>
          <w:p>
            <w:pPr>
              <w:pStyle w:val="TableContents"/>
              <w:bidi w:val="0"/>
              <w:spacing w:before="0" w:after="0"/>
              <w:jc w:val="center"/>
              <w:rPr>
                <w:rFonts w:ascii="arial" w:hAnsi="arial"/>
                <w:color w:val="004876"/>
                <w:sz w:val="20"/>
              </w:rPr>
            </w:pPr>
            <w:r>
              <w:rPr>
                <w:rFonts w:ascii="arial" w:hAnsi="arial"/>
                <w:color w:val="004876"/>
                <w:sz w:val="20"/>
              </w:rPr>
              <w:t>Age: 56</w:t>
            </w:r>
          </w:p>
          <w:p>
            <w:pPr>
              <w:pStyle w:val="TableContents"/>
              <w:bidi w:val="0"/>
              <w:spacing w:before="0" w:after="20"/>
              <w:jc w:val="center"/>
              <w:rPr>
                <w:rFonts w:ascii="arial" w:hAnsi="arial"/>
                <w:color w:val="004876"/>
                <w:sz w:val="20"/>
              </w:rPr>
            </w:pPr>
            <w:r>
              <w:rPr>
                <w:rFonts w:ascii="arial" w:hAnsi="arial"/>
                <w:color w:val="004876"/>
                <w:sz w:val="20"/>
              </w:rPr>
              <w:t>Director since 2022</w:t>
            </w:r>
          </w:p>
        </w:tc>
        <w:tc>
          <w:tcPr>
            <w:tcW w:w="120" w:type="dxa"/>
            <w:tcBorders/>
            <w:vAlign w:val="center"/>
          </w:tcPr>
          <w:p>
            <w:pPr>
              <w:pStyle w:val="TableContents"/>
              <w:bidi w:val="0"/>
              <w:spacing w:before="0" w:after="283"/>
              <w:jc w:val="left"/>
              <w:rPr/>
            </w:pPr>
            <w:r>
              <w:rPr/>
              <w:t>  </w:t>
            </w:r>
          </w:p>
        </w:tc>
        <w:tc>
          <w:tcPr>
            <w:tcW w:w="863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4876"/>
                <w:sz w:val="20"/>
              </w:rPr>
            </w:pPr>
            <w:r>
              <w:rPr>
                <w:rFonts w:ascii="arial" w:hAnsi="arial"/>
                <w:b/>
                <w:color w:val="004876"/>
                <w:sz w:val="20"/>
              </w:rPr>
              <w:t>Background, Skills and Experience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Ms. Carter was appointed to the Board of Directors on December 15, 2022. She has amassed over 25 years of professional experience in the field of human resources across multiple industries and major organizations and is currently serving as Executive Vice President and Chief Human Resources Officer for Allstate Corporation based in Chicago. Prior to joining Allstate in May 2025, Ms. Carter served as Senior Executive Vice President and Chief Human Resources Officer for Global Payments, Inc. in Atlanta. Ms. Carter was Chief Human Resources Officer for Habitat for Humanity and has held various executive Human Resources roles at Ralph Lauren, Newell Rubbermaid, and The Home Depot. She holds a bachelor’s degree in interdisciplinary studies from Tennessee State University and is a graduate of the Executive Leadership Council Class of 2022. Ms. Carter has been recognized with a number of distinctions and awards in recent years, which include: Atlanta Business Chronicle, “Women who Mean Business,” Atlanta Magazine, “Women Making a Mark,” Savoy Magazine, “Power 300 Most Influential Black Executives,” Women’s Inc., “Most Influential Women Execs in Corporate America,” and is a 2021 recipient of the UNCF MASKED award (Mankind Assisting Students Kindle Educational Dreams).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Key Qualifications and Experience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Ms. Carter has extensive leadership and human resources experience across multiple public companies.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left"/>
              <w:rPr>
                <w:rFonts w:ascii="arial" w:hAnsi="arial"/>
                <w:sz w:val="18"/>
              </w:rPr>
            </w:pPr>
            <w:r>
              <w:rPr>
                <w:rFonts w:ascii="arial" w:hAnsi="arial"/>
                <w:sz w:val="18"/>
              </w:rPr>
              <w:t xml:space="preserve">Except as noted with respect to Ms. Carter, there has been no change in principal occupation or employment of any Class II director during the past 5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arial" w:hAnsi="arial"/>
                <w:sz w:val="18"/>
              </w:rPr>
            </w:pPr>
            <w:r>
              <w:rPr>
                <w:rFonts w:ascii="arial" w:hAnsi="arial"/>
                <w:sz w:val="18"/>
              </w:rPr>
              <w:t xml:space="preserve">Summaries above include directorships at any time within the last 5 years in companies with a class of securities registered pursuant to Section 12 of the Securities Exchange Act of 1934, as amended (the “Exchange Act”), subject to the requirements of Section 15(d) of the Exchange Act or companies registered under the Investment Company Act of 1940 and, in the case of certain nominees, other present or former directorships or positions considered significant by them.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Election of Directors (Proposal No. 1)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B99C16"/>
          <w:sz w:val="28"/>
        </w:rPr>
      </w:pPr>
      <w:bookmarkStart w:id="12" w:name="toc123994_10"/>
      <w:bookmarkEnd w:id="12"/>
      <w:r>
        <w:rPr>
          <w:rFonts w:ascii="arial" w:hAnsi="arial"/>
          <w:b/>
          <w:color w:val="B99C16"/>
          <w:sz w:val="28"/>
        </w:rPr>
        <w:t xml:space="preserve">DIRECTOR SKILLS AND EXPERIENCE MATRIX </w:t>
      </w:r>
    </w:p>
    <w:p>
      <w:pPr>
        <w:pStyle w:val="TextBody"/>
        <w:bidi w:val="0"/>
        <w:spacing w:before="0" w:after="0"/>
        <w:jc w:val="left"/>
        <w:rPr/>
      </w:pPr>
      <w:r>
        <w:rPr/>
        <w:t> </w:t>
      </w:r>
    </w:p>
    <w:tbl>
      <w:tblPr>
        <w:tblW w:w="8283" w:type="dxa"/>
        <w:jc w:val="left"/>
        <w:tblInd w:w="0" w:type="dxa"/>
        <w:tblLayout w:type="fixed"/>
        <w:tblCellMar>
          <w:top w:w="0" w:type="dxa"/>
          <w:left w:w="0" w:type="dxa"/>
          <w:bottom w:w="0" w:type="dxa"/>
          <w:right w:w="0" w:type="dxa"/>
        </w:tblCellMar>
      </w:tblPr>
      <w:tblGrid>
        <w:gridCol w:w="5465"/>
        <w:gridCol w:w="60"/>
        <w:gridCol w:w="538"/>
        <w:gridCol w:w="60"/>
        <w:gridCol w:w="255"/>
        <w:gridCol w:w="60"/>
        <w:gridCol w:w="255"/>
        <w:gridCol w:w="60"/>
        <w:gridCol w:w="255"/>
        <w:gridCol w:w="60"/>
        <w:gridCol w:w="255"/>
        <w:gridCol w:w="60"/>
        <w:gridCol w:w="255"/>
        <w:gridCol w:w="60"/>
        <w:gridCol w:w="255"/>
        <w:gridCol w:w="60"/>
        <w:gridCol w:w="270"/>
      </w:tblGrid>
      <w:tr>
        <w:trPr/>
        <w:tc>
          <w:tcPr>
            <w:tcW w:w="5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465" w:type="dxa"/>
            <w:tcBorders/>
            <w:vAlign w:val="center"/>
          </w:tcPr>
          <w:p>
            <w:pPr>
              <w:pStyle w:val="TableContents"/>
              <w:bidi w:val="0"/>
              <w:spacing w:before="0" w:after="283"/>
              <w:jc w:val="left"/>
              <w:rPr>
                <w:sz w:val="4"/>
                <w:szCs w:val="4"/>
              </w:rPr>
            </w:pPr>
            <w:r>
              <w:rPr>
                <w:sz w:val="4"/>
                <w:szCs w:val="4"/>
              </w:rPr>
            </w:r>
          </w:p>
        </w:tc>
        <w:tc>
          <w:tcPr>
            <w:tcW w:w="598" w:type="dxa"/>
            <w:gridSpan w:val="2"/>
            <w:tcBorders/>
            <w:vAlign w:val="center"/>
          </w:tcPr>
          <w:p>
            <w:pPr>
              <w:pStyle w:val="TableContents"/>
              <w:bidi w:val="0"/>
              <w:spacing w:before="0" w:after="283"/>
              <w:jc w:val="left"/>
              <w:rPr>
                <w:sz w:val="4"/>
                <w:szCs w:val="4"/>
              </w:rPr>
            </w:pPr>
            <w:r>
              <w:rPr>
                <w:sz w:val="4"/>
                <w:szCs w:val="4"/>
              </w:rPr>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3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r>
      <w:tr>
        <w:trPr/>
        <w:tc>
          <w:tcPr>
            <w:tcW w:w="5465" w:type="dxa"/>
            <w:tcBorders>
              <w:bottom w:val="single" w:sz="6" w:space="0" w:color="B99C16"/>
            </w:tcBorders>
            <w:tcMar>
              <w:bottom w:w="120" w:type="dxa"/>
            </w:tcMar>
            <w:vAlign w:val="center"/>
          </w:tcPr>
          <w:p>
            <w:pPr>
              <w:pStyle w:val="TableContents"/>
              <w:bidi w:val="0"/>
              <w:spacing w:before="0" w:after="283"/>
              <w:jc w:val="left"/>
              <w:rPr>
                <w:b/>
                <w:color w:val="004876"/>
                <w:sz w:val="24"/>
              </w:rPr>
            </w:pPr>
            <w:r>
              <w:rPr>
                <w:b/>
                <w:color w:val="004876"/>
                <w:sz w:val="24"/>
              </w:rPr>
              <w:t>Experience and Attributes</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38"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120" w:type="dxa"/>
            </w:tcMar>
            <w:vAlign w:val="center"/>
          </w:tcPr>
          <w:p>
            <w:pPr>
              <w:pStyle w:val="TableContents"/>
              <w:bidi w:val="0"/>
              <w:spacing w:before="0" w:after="283"/>
              <w:jc w:val="center"/>
              <w:rPr/>
            </w:pPr>
            <w:r>
              <w:rPr/>
              <w:drawing>
                <wp:inline distT="0" distB="0" distL="0" distR="0">
                  <wp:extent cx="123825" cy="45720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123825" cy="457200"/>
                          </a:xfrm>
                          <a:prstGeom prst="rect">
                            <a:avLst/>
                          </a:prstGeom>
                        </pic:spPr>
                      </pic:pic>
                    </a:graphicData>
                  </a:graphic>
                </wp:inline>
              </w:drawing>
            </w:r>
            <w:r>
              <w:rPr/>
              <w:t xml:space="preserve">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120" w:type="dxa"/>
            </w:tcMar>
            <w:vAlign w:val="center"/>
          </w:tcPr>
          <w:p>
            <w:pPr>
              <w:pStyle w:val="TableContents"/>
              <w:bidi w:val="0"/>
              <w:spacing w:before="0" w:after="283"/>
              <w:jc w:val="center"/>
              <w:rPr/>
            </w:pPr>
            <w:r>
              <w:rPr/>
              <w:drawing>
                <wp:inline distT="0" distB="0" distL="0" distR="0">
                  <wp:extent cx="123825" cy="26670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123825" cy="266700"/>
                          </a:xfrm>
                          <a:prstGeom prst="rect">
                            <a:avLst/>
                          </a:prstGeom>
                        </pic:spPr>
                      </pic:pic>
                    </a:graphicData>
                  </a:graphic>
                </wp:inline>
              </w:drawing>
            </w:r>
            <w:r>
              <w:rPr/>
              <w:t xml:space="preserve">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120" w:type="dxa"/>
            </w:tcMar>
            <w:vAlign w:val="center"/>
          </w:tcPr>
          <w:p>
            <w:pPr>
              <w:pStyle w:val="TableContents"/>
              <w:bidi w:val="0"/>
              <w:spacing w:before="0" w:after="283"/>
              <w:jc w:val="center"/>
              <w:rPr/>
            </w:pPr>
            <w:r>
              <w:rPr/>
              <w:drawing>
                <wp:inline distT="0" distB="0" distL="0" distR="0">
                  <wp:extent cx="123825" cy="352425"/>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123825" cy="352425"/>
                          </a:xfrm>
                          <a:prstGeom prst="rect">
                            <a:avLst/>
                          </a:prstGeom>
                        </pic:spPr>
                      </pic:pic>
                    </a:graphicData>
                  </a:graphic>
                </wp:inline>
              </w:drawing>
            </w:r>
            <w:r>
              <w:rPr/>
              <w:t xml:space="preserve">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120" w:type="dxa"/>
            </w:tcMar>
            <w:vAlign w:val="center"/>
          </w:tcPr>
          <w:p>
            <w:pPr>
              <w:pStyle w:val="TableContents"/>
              <w:bidi w:val="0"/>
              <w:spacing w:before="0" w:after="283"/>
              <w:jc w:val="center"/>
              <w:rPr/>
            </w:pPr>
            <w:r>
              <w:rPr/>
              <w:drawing>
                <wp:inline distT="0" distB="0" distL="0" distR="0">
                  <wp:extent cx="123825" cy="457200"/>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123825" cy="457200"/>
                          </a:xfrm>
                          <a:prstGeom prst="rect">
                            <a:avLst/>
                          </a:prstGeom>
                        </pic:spPr>
                      </pic:pic>
                    </a:graphicData>
                  </a:graphic>
                </wp:inline>
              </w:drawing>
            </w:r>
            <w:r>
              <w:rPr/>
              <w:t xml:space="preserve">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120" w:type="dxa"/>
            </w:tcMar>
            <w:vAlign w:val="center"/>
          </w:tcPr>
          <w:p>
            <w:pPr>
              <w:pStyle w:val="TableContents"/>
              <w:bidi w:val="0"/>
              <w:spacing w:before="0" w:after="283"/>
              <w:jc w:val="center"/>
              <w:rPr/>
            </w:pPr>
            <w:r>
              <w:rPr/>
              <w:drawing>
                <wp:inline distT="0" distB="0" distL="0" distR="0">
                  <wp:extent cx="123825" cy="228600"/>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123825" cy="228600"/>
                          </a:xfrm>
                          <a:prstGeom prst="rect">
                            <a:avLst/>
                          </a:prstGeom>
                        </pic:spPr>
                      </pic:pic>
                    </a:graphicData>
                  </a:graphic>
                </wp:inline>
              </w:drawing>
            </w:r>
            <w:r>
              <w:rPr/>
              <w:t xml:space="preserve">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120" w:type="dxa"/>
            </w:tcMar>
            <w:vAlign w:val="center"/>
          </w:tcPr>
          <w:p>
            <w:pPr>
              <w:pStyle w:val="TableContents"/>
              <w:bidi w:val="0"/>
              <w:spacing w:before="0" w:after="283"/>
              <w:jc w:val="center"/>
              <w:rPr/>
            </w:pPr>
            <w:r>
              <w:rPr/>
              <w:drawing>
                <wp:inline distT="0" distB="0" distL="0" distR="0">
                  <wp:extent cx="123825" cy="295275"/>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123825" cy="295275"/>
                          </a:xfrm>
                          <a:prstGeom prst="rect">
                            <a:avLst/>
                          </a:prstGeom>
                        </pic:spPr>
                      </pic:pic>
                    </a:graphicData>
                  </a:graphic>
                </wp:inline>
              </w:drawing>
            </w:r>
            <w:r>
              <w:rPr/>
              <w:t xml:space="preserve">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70" w:type="dxa"/>
            <w:tcBorders>
              <w:bottom w:val="single" w:sz="6" w:space="0" w:color="B99C16"/>
            </w:tcBorders>
            <w:shd w:fill="F4F0DC" w:val="clear"/>
            <w:tcMar>
              <w:bottom w:w="120" w:type="dxa"/>
            </w:tcMar>
            <w:vAlign w:val="center"/>
          </w:tcPr>
          <w:p>
            <w:pPr>
              <w:pStyle w:val="TableContents"/>
              <w:bidi w:val="0"/>
              <w:spacing w:before="0" w:after="283"/>
              <w:jc w:val="center"/>
              <w:rPr/>
            </w:pPr>
            <w:r>
              <w:rPr/>
              <w:drawing>
                <wp:inline distT="0" distB="0" distL="0" distR="0">
                  <wp:extent cx="123825" cy="24765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123825" cy="247650"/>
                          </a:xfrm>
                          <a:prstGeom prst="rect">
                            <a:avLst/>
                          </a:prstGeom>
                        </pic:spPr>
                      </pic:pic>
                    </a:graphicData>
                  </a:graphic>
                </wp:inline>
              </w:drawing>
            </w:r>
            <w:r>
              <w:rPr/>
              <w:t xml:space="preserve"> </w:t>
            </w:r>
          </w:p>
        </w:tc>
      </w:tr>
      <w:tr>
        <w:trPr/>
        <w:tc>
          <w:tcPr>
            <w:tcW w:w="5465" w:type="dxa"/>
            <w:tcBorders/>
            <w:vAlign w:val="center"/>
          </w:tcPr>
          <w:p>
            <w:pPr>
              <w:pStyle w:val="TableContents"/>
              <w:bidi w:val="0"/>
              <w:spacing w:before="0" w:after="283"/>
              <w:jc w:val="left"/>
              <w:rPr>
                <w:sz w:val="4"/>
                <w:szCs w:val="4"/>
              </w:rPr>
            </w:pPr>
            <w:r>
              <w:rPr>
                <w:sz w:val="4"/>
                <w:szCs w:val="4"/>
              </w:rPr>
            </w:r>
          </w:p>
        </w:tc>
        <w:tc>
          <w:tcPr>
            <w:tcW w:w="598" w:type="dxa"/>
            <w:gridSpan w:val="2"/>
            <w:tcBorders/>
            <w:vAlign w:val="center"/>
          </w:tcPr>
          <w:p>
            <w:pPr>
              <w:pStyle w:val="TableContents"/>
              <w:bidi w:val="0"/>
              <w:spacing w:before="0" w:after="283"/>
              <w:jc w:val="left"/>
              <w:rPr>
                <w:sz w:val="4"/>
                <w:szCs w:val="4"/>
              </w:rPr>
            </w:pPr>
            <w:r>
              <w:rPr>
                <w:sz w:val="4"/>
                <w:szCs w:val="4"/>
              </w:rPr>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3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r>
      <w:tr>
        <w:trPr/>
        <w:tc>
          <w:tcPr>
            <w:tcW w:w="5465" w:type="dxa"/>
            <w:tcBorders>
              <w:bottom w:val="single" w:sz="6" w:space="0" w:color="B99C16"/>
            </w:tcBorders>
            <w:tcMar>
              <w:bottom w:w="28" w:type="dxa"/>
            </w:tcMar>
            <w:vAlign w:val="center"/>
          </w:tcPr>
          <w:p>
            <w:pPr>
              <w:pStyle w:val="TableContents"/>
              <w:bidi w:val="0"/>
              <w:spacing w:before="0" w:after="0"/>
              <w:jc w:val="left"/>
              <w:rPr>
                <w:rFonts w:ascii="arial" w:hAnsi="arial"/>
                <w:b/>
                <w:sz w:val="20"/>
              </w:rPr>
            </w:pPr>
            <w:r>
              <w:rPr>
                <w:rFonts w:ascii="arial" w:hAnsi="arial"/>
                <w:b/>
                <w:sz w:val="20"/>
              </w:rPr>
              <w:t>Executive Leadership</w:t>
            </w:r>
          </w:p>
          <w:p>
            <w:pPr>
              <w:pStyle w:val="TableContents"/>
              <w:bidi w:val="0"/>
              <w:spacing w:before="0" w:after="2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38" w:type="dxa"/>
            <w:tcBorders>
              <w:bottom w:val="single" w:sz="6" w:space="0" w:color="B99C16"/>
            </w:tcBorders>
            <w:tcMar>
              <w:bottom w:w="28" w:type="dxa"/>
            </w:tcMar>
            <w:vAlign w:val="center"/>
          </w:tcPr>
          <w:p>
            <w:pPr>
              <w:pStyle w:val="TableContents"/>
              <w:bidi w:val="0"/>
              <w:spacing w:before="0" w:after="283"/>
              <w:jc w:val="center"/>
              <w:rPr/>
            </w:pPr>
            <w:r>
              <w:rPr/>
              <w:drawing>
                <wp:inline distT="0" distB="0" distL="0" distR="0">
                  <wp:extent cx="274955" cy="200660"/>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274955" cy="200660"/>
                          </a:xfrm>
                          <a:prstGeom prst="rect">
                            <a:avLst/>
                          </a:prstGeom>
                        </pic:spPr>
                      </pic:pic>
                    </a:graphicData>
                  </a:graphic>
                </wp:inline>
              </w:drawing>
            </w:r>
            <w:r>
              <w:rPr/>
              <w:t xml:space="preserve">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7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r>
      <w:tr>
        <w:trPr/>
        <w:tc>
          <w:tcPr>
            <w:tcW w:w="5465" w:type="dxa"/>
            <w:tcBorders/>
            <w:vAlign w:val="center"/>
          </w:tcPr>
          <w:p>
            <w:pPr>
              <w:pStyle w:val="TableContents"/>
              <w:bidi w:val="0"/>
              <w:spacing w:before="0" w:after="283"/>
              <w:jc w:val="left"/>
              <w:rPr>
                <w:sz w:val="4"/>
                <w:szCs w:val="4"/>
              </w:rPr>
            </w:pPr>
            <w:r>
              <w:rPr>
                <w:sz w:val="4"/>
                <w:szCs w:val="4"/>
              </w:rPr>
            </w:r>
          </w:p>
        </w:tc>
        <w:tc>
          <w:tcPr>
            <w:tcW w:w="598" w:type="dxa"/>
            <w:gridSpan w:val="2"/>
            <w:tcBorders/>
            <w:vAlign w:val="center"/>
          </w:tcPr>
          <w:p>
            <w:pPr>
              <w:pStyle w:val="TableContents"/>
              <w:bidi w:val="0"/>
              <w:spacing w:before="0" w:after="283"/>
              <w:jc w:val="left"/>
              <w:rPr>
                <w:sz w:val="4"/>
                <w:szCs w:val="4"/>
              </w:rPr>
            </w:pPr>
            <w:r>
              <w:rPr>
                <w:sz w:val="4"/>
                <w:szCs w:val="4"/>
              </w:rPr>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3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r>
      <w:tr>
        <w:trPr/>
        <w:tc>
          <w:tcPr>
            <w:tcW w:w="5465" w:type="dxa"/>
            <w:tcBorders>
              <w:bottom w:val="single" w:sz="6" w:space="0" w:color="B99C16"/>
            </w:tcBorders>
            <w:tcMar>
              <w:bottom w:w="28" w:type="dxa"/>
            </w:tcMar>
            <w:vAlign w:val="center"/>
          </w:tcPr>
          <w:p>
            <w:pPr>
              <w:pStyle w:val="TableContents"/>
              <w:bidi w:val="0"/>
              <w:spacing w:before="0" w:after="0"/>
              <w:jc w:val="left"/>
              <w:rPr>
                <w:rFonts w:ascii="arial" w:hAnsi="arial"/>
                <w:b/>
                <w:sz w:val="20"/>
              </w:rPr>
            </w:pPr>
            <w:r>
              <w:rPr>
                <w:rFonts w:ascii="arial" w:hAnsi="arial"/>
                <w:b/>
                <w:sz w:val="20"/>
              </w:rPr>
              <w:t>Finance / Capital Markets</w:t>
            </w:r>
          </w:p>
          <w:p>
            <w:pPr>
              <w:pStyle w:val="TableContents"/>
              <w:bidi w:val="0"/>
              <w:spacing w:before="0" w:after="2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38" w:type="dxa"/>
            <w:tcBorders>
              <w:bottom w:val="single" w:sz="6" w:space="0" w:color="B99C16"/>
            </w:tcBorders>
            <w:tcMar>
              <w:bottom w:w="28" w:type="dxa"/>
            </w:tcMar>
            <w:vAlign w:val="center"/>
          </w:tcPr>
          <w:p>
            <w:pPr>
              <w:pStyle w:val="TableContents"/>
              <w:bidi w:val="0"/>
              <w:spacing w:before="0" w:after="283"/>
              <w:jc w:val="center"/>
              <w:rPr/>
            </w:pPr>
            <w:r>
              <w:rPr/>
              <w:drawing>
                <wp:inline distT="0" distB="0" distL="0" distR="0">
                  <wp:extent cx="248920" cy="295275"/>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248920" cy="295275"/>
                          </a:xfrm>
                          <a:prstGeom prst="rect">
                            <a:avLst/>
                          </a:prstGeom>
                        </pic:spPr>
                      </pic:pic>
                    </a:graphicData>
                  </a:graphic>
                </wp:inline>
              </w:drawing>
            </w:r>
            <w:r>
              <w:rPr/>
              <w:t xml:space="preserve">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7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r>
      <w:tr>
        <w:trPr/>
        <w:tc>
          <w:tcPr>
            <w:tcW w:w="5465" w:type="dxa"/>
            <w:tcBorders/>
            <w:vAlign w:val="center"/>
          </w:tcPr>
          <w:p>
            <w:pPr>
              <w:pStyle w:val="TableContents"/>
              <w:bidi w:val="0"/>
              <w:spacing w:before="0" w:after="283"/>
              <w:jc w:val="left"/>
              <w:rPr>
                <w:sz w:val="4"/>
                <w:szCs w:val="4"/>
              </w:rPr>
            </w:pPr>
            <w:r>
              <w:rPr>
                <w:sz w:val="4"/>
                <w:szCs w:val="4"/>
              </w:rPr>
            </w:r>
          </w:p>
        </w:tc>
        <w:tc>
          <w:tcPr>
            <w:tcW w:w="598" w:type="dxa"/>
            <w:gridSpan w:val="2"/>
            <w:tcBorders/>
            <w:vAlign w:val="center"/>
          </w:tcPr>
          <w:p>
            <w:pPr>
              <w:pStyle w:val="TableContents"/>
              <w:bidi w:val="0"/>
              <w:spacing w:before="0" w:after="283"/>
              <w:jc w:val="left"/>
              <w:rPr>
                <w:sz w:val="4"/>
                <w:szCs w:val="4"/>
              </w:rPr>
            </w:pPr>
            <w:r>
              <w:rPr>
                <w:sz w:val="4"/>
                <w:szCs w:val="4"/>
              </w:rPr>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3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r>
      <w:tr>
        <w:trPr/>
        <w:tc>
          <w:tcPr>
            <w:tcW w:w="5465" w:type="dxa"/>
            <w:tcBorders>
              <w:bottom w:val="single" w:sz="6" w:space="0" w:color="B99C16"/>
            </w:tcBorders>
            <w:tcMar>
              <w:bottom w:w="28" w:type="dxa"/>
            </w:tcMar>
            <w:vAlign w:val="center"/>
          </w:tcPr>
          <w:p>
            <w:pPr>
              <w:pStyle w:val="TableContents"/>
              <w:bidi w:val="0"/>
              <w:spacing w:before="0" w:after="0"/>
              <w:jc w:val="left"/>
              <w:rPr>
                <w:rFonts w:ascii="arial" w:hAnsi="arial"/>
                <w:b/>
                <w:sz w:val="20"/>
              </w:rPr>
            </w:pPr>
            <w:r>
              <w:rPr>
                <w:rFonts w:ascii="arial" w:hAnsi="arial"/>
                <w:b/>
                <w:sz w:val="20"/>
              </w:rPr>
              <w:t>Mergers &amp; Acquisitions / Business Development / Strategy</w:t>
            </w:r>
          </w:p>
          <w:p>
            <w:pPr>
              <w:pStyle w:val="TableContents"/>
              <w:bidi w:val="0"/>
              <w:spacing w:before="0" w:after="2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38" w:type="dxa"/>
            <w:tcBorders>
              <w:bottom w:val="single" w:sz="6" w:space="0" w:color="B99C16"/>
            </w:tcBorders>
            <w:tcMar>
              <w:bottom w:w="28" w:type="dxa"/>
            </w:tcMar>
            <w:vAlign w:val="center"/>
          </w:tcPr>
          <w:p>
            <w:pPr>
              <w:pStyle w:val="TableContents"/>
              <w:bidi w:val="0"/>
              <w:spacing w:before="0" w:after="283"/>
              <w:jc w:val="center"/>
              <w:rPr/>
            </w:pPr>
            <w:r>
              <w:rPr/>
              <w:drawing>
                <wp:inline distT="0" distB="0" distL="0" distR="0">
                  <wp:extent cx="281305" cy="231140"/>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281305" cy="231140"/>
                          </a:xfrm>
                          <a:prstGeom prst="rect">
                            <a:avLst/>
                          </a:prstGeom>
                        </pic:spPr>
                      </pic:pic>
                    </a:graphicData>
                  </a:graphic>
                </wp:inline>
              </w:drawing>
            </w:r>
            <w:r>
              <w:rPr/>
              <w:t xml:space="preserve">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7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r>
      <w:tr>
        <w:trPr/>
        <w:tc>
          <w:tcPr>
            <w:tcW w:w="5465" w:type="dxa"/>
            <w:tcBorders/>
            <w:vAlign w:val="center"/>
          </w:tcPr>
          <w:p>
            <w:pPr>
              <w:pStyle w:val="TableContents"/>
              <w:bidi w:val="0"/>
              <w:spacing w:before="0" w:after="283"/>
              <w:jc w:val="left"/>
              <w:rPr>
                <w:sz w:val="4"/>
                <w:szCs w:val="4"/>
              </w:rPr>
            </w:pPr>
            <w:r>
              <w:rPr>
                <w:sz w:val="4"/>
                <w:szCs w:val="4"/>
              </w:rPr>
            </w:r>
          </w:p>
        </w:tc>
        <w:tc>
          <w:tcPr>
            <w:tcW w:w="598" w:type="dxa"/>
            <w:gridSpan w:val="2"/>
            <w:tcBorders/>
            <w:vAlign w:val="center"/>
          </w:tcPr>
          <w:p>
            <w:pPr>
              <w:pStyle w:val="TableContents"/>
              <w:bidi w:val="0"/>
              <w:spacing w:before="0" w:after="283"/>
              <w:jc w:val="left"/>
              <w:rPr>
                <w:sz w:val="4"/>
                <w:szCs w:val="4"/>
              </w:rPr>
            </w:pPr>
            <w:r>
              <w:rPr>
                <w:sz w:val="4"/>
                <w:szCs w:val="4"/>
              </w:rPr>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3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r>
      <w:tr>
        <w:trPr/>
        <w:tc>
          <w:tcPr>
            <w:tcW w:w="5465" w:type="dxa"/>
            <w:tcBorders>
              <w:bottom w:val="single" w:sz="6" w:space="0" w:color="B99C16"/>
            </w:tcBorders>
            <w:tcMar>
              <w:bottom w:w="28" w:type="dxa"/>
            </w:tcMar>
            <w:vAlign w:val="center"/>
          </w:tcPr>
          <w:p>
            <w:pPr>
              <w:pStyle w:val="TableContents"/>
              <w:bidi w:val="0"/>
              <w:spacing w:before="0" w:after="0"/>
              <w:jc w:val="left"/>
              <w:rPr>
                <w:rFonts w:ascii="arial" w:hAnsi="arial"/>
                <w:b/>
                <w:sz w:val="20"/>
              </w:rPr>
            </w:pPr>
            <w:r>
              <w:rPr>
                <w:rFonts w:ascii="arial" w:hAnsi="arial"/>
                <w:b/>
                <w:sz w:val="20"/>
              </w:rPr>
              <w:t>Human Capital / Talent Development / Compensation</w:t>
            </w:r>
          </w:p>
          <w:p>
            <w:pPr>
              <w:pStyle w:val="TableContents"/>
              <w:bidi w:val="0"/>
              <w:spacing w:before="0" w:after="2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38" w:type="dxa"/>
            <w:tcBorders>
              <w:bottom w:val="single" w:sz="6" w:space="0" w:color="B99C16"/>
            </w:tcBorders>
            <w:tcMar>
              <w:bottom w:w="28" w:type="dxa"/>
            </w:tcMar>
            <w:vAlign w:val="center"/>
          </w:tcPr>
          <w:p>
            <w:pPr>
              <w:pStyle w:val="TableContents"/>
              <w:bidi w:val="0"/>
              <w:spacing w:before="0" w:after="283"/>
              <w:jc w:val="center"/>
              <w:rPr/>
            </w:pPr>
            <w:r>
              <w:rPr/>
              <w:drawing>
                <wp:inline distT="0" distB="0" distL="0" distR="0">
                  <wp:extent cx="158115" cy="271145"/>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158115" cy="271145"/>
                          </a:xfrm>
                          <a:prstGeom prst="rect">
                            <a:avLst/>
                          </a:prstGeom>
                        </pic:spPr>
                      </pic:pic>
                    </a:graphicData>
                  </a:graphic>
                </wp:inline>
              </w:drawing>
            </w:r>
            <w:r>
              <w:rPr/>
              <w:t xml:space="preserve">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7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r>
      <w:tr>
        <w:trPr/>
        <w:tc>
          <w:tcPr>
            <w:tcW w:w="5465" w:type="dxa"/>
            <w:tcBorders/>
            <w:vAlign w:val="center"/>
          </w:tcPr>
          <w:p>
            <w:pPr>
              <w:pStyle w:val="TableContents"/>
              <w:bidi w:val="0"/>
              <w:spacing w:before="0" w:after="283"/>
              <w:jc w:val="left"/>
              <w:rPr>
                <w:sz w:val="4"/>
                <w:szCs w:val="4"/>
              </w:rPr>
            </w:pPr>
            <w:r>
              <w:rPr>
                <w:sz w:val="4"/>
                <w:szCs w:val="4"/>
              </w:rPr>
            </w:r>
          </w:p>
        </w:tc>
        <w:tc>
          <w:tcPr>
            <w:tcW w:w="598" w:type="dxa"/>
            <w:gridSpan w:val="2"/>
            <w:tcBorders/>
            <w:vAlign w:val="center"/>
          </w:tcPr>
          <w:p>
            <w:pPr>
              <w:pStyle w:val="TableContents"/>
              <w:bidi w:val="0"/>
              <w:spacing w:before="0" w:after="283"/>
              <w:jc w:val="left"/>
              <w:rPr>
                <w:sz w:val="4"/>
                <w:szCs w:val="4"/>
              </w:rPr>
            </w:pPr>
            <w:r>
              <w:rPr>
                <w:sz w:val="4"/>
                <w:szCs w:val="4"/>
              </w:rPr>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3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r>
      <w:tr>
        <w:trPr/>
        <w:tc>
          <w:tcPr>
            <w:tcW w:w="5465" w:type="dxa"/>
            <w:tcBorders>
              <w:bottom w:val="single" w:sz="6" w:space="0" w:color="B99C16"/>
            </w:tcBorders>
            <w:tcMar>
              <w:bottom w:w="28" w:type="dxa"/>
            </w:tcMar>
            <w:vAlign w:val="center"/>
          </w:tcPr>
          <w:p>
            <w:pPr>
              <w:pStyle w:val="TableContents"/>
              <w:bidi w:val="0"/>
              <w:spacing w:before="0" w:after="0"/>
              <w:jc w:val="left"/>
              <w:rPr>
                <w:rFonts w:ascii="arial" w:hAnsi="arial"/>
                <w:b/>
                <w:sz w:val="20"/>
              </w:rPr>
            </w:pPr>
            <w:r>
              <w:rPr>
                <w:rFonts w:ascii="arial" w:hAnsi="arial"/>
                <w:b/>
                <w:sz w:val="20"/>
              </w:rPr>
              <w:t>Risk Management / Regulatory</w:t>
            </w:r>
          </w:p>
          <w:p>
            <w:pPr>
              <w:pStyle w:val="TableContents"/>
              <w:bidi w:val="0"/>
              <w:spacing w:before="0" w:after="2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38" w:type="dxa"/>
            <w:tcBorders>
              <w:bottom w:val="single" w:sz="6" w:space="0" w:color="B99C16"/>
            </w:tcBorders>
            <w:tcMar>
              <w:bottom w:w="28" w:type="dxa"/>
            </w:tcMar>
            <w:vAlign w:val="center"/>
          </w:tcPr>
          <w:p>
            <w:pPr>
              <w:pStyle w:val="TableContents"/>
              <w:bidi w:val="0"/>
              <w:spacing w:before="0" w:after="283"/>
              <w:jc w:val="center"/>
              <w:rPr/>
            </w:pPr>
            <w:r>
              <w:rPr/>
              <w:drawing>
                <wp:inline distT="0" distB="0" distL="0" distR="0">
                  <wp:extent cx="262890" cy="254000"/>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262890" cy="254000"/>
                          </a:xfrm>
                          <a:prstGeom prst="rect">
                            <a:avLst/>
                          </a:prstGeom>
                        </pic:spPr>
                      </pic:pic>
                    </a:graphicData>
                  </a:graphic>
                </wp:inline>
              </w:drawing>
            </w:r>
            <w:r>
              <w:rPr/>
              <w:t xml:space="preserve">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7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r>
      <w:tr>
        <w:trPr/>
        <w:tc>
          <w:tcPr>
            <w:tcW w:w="5465" w:type="dxa"/>
            <w:tcBorders/>
            <w:vAlign w:val="center"/>
          </w:tcPr>
          <w:p>
            <w:pPr>
              <w:pStyle w:val="TableContents"/>
              <w:bidi w:val="0"/>
              <w:spacing w:before="0" w:after="283"/>
              <w:jc w:val="left"/>
              <w:rPr>
                <w:sz w:val="4"/>
                <w:szCs w:val="4"/>
              </w:rPr>
            </w:pPr>
            <w:r>
              <w:rPr>
                <w:sz w:val="4"/>
                <w:szCs w:val="4"/>
              </w:rPr>
            </w:r>
          </w:p>
        </w:tc>
        <w:tc>
          <w:tcPr>
            <w:tcW w:w="598" w:type="dxa"/>
            <w:gridSpan w:val="2"/>
            <w:tcBorders/>
            <w:vAlign w:val="center"/>
          </w:tcPr>
          <w:p>
            <w:pPr>
              <w:pStyle w:val="TableContents"/>
              <w:bidi w:val="0"/>
              <w:spacing w:before="0" w:after="283"/>
              <w:jc w:val="left"/>
              <w:rPr>
                <w:sz w:val="4"/>
                <w:szCs w:val="4"/>
              </w:rPr>
            </w:pPr>
            <w:r>
              <w:rPr>
                <w:sz w:val="4"/>
                <w:szCs w:val="4"/>
              </w:rPr>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3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r>
      <w:tr>
        <w:trPr/>
        <w:tc>
          <w:tcPr>
            <w:tcW w:w="5465" w:type="dxa"/>
            <w:tcBorders>
              <w:bottom w:val="single" w:sz="6" w:space="0" w:color="B99C16"/>
            </w:tcBorders>
            <w:tcMar>
              <w:bottom w:w="28" w:type="dxa"/>
            </w:tcMar>
            <w:vAlign w:val="center"/>
          </w:tcPr>
          <w:p>
            <w:pPr>
              <w:pStyle w:val="TableContents"/>
              <w:bidi w:val="0"/>
              <w:spacing w:before="0" w:after="0"/>
              <w:jc w:val="left"/>
              <w:rPr>
                <w:rFonts w:ascii="arial" w:hAnsi="arial"/>
                <w:b/>
                <w:sz w:val="20"/>
              </w:rPr>
            </w:pPr>
            <w:r>
              <w:rPr>
                <w:rFonts w:ascii="arial" w:hAnsi="arial"/>
                <w:b/>
                <w:sz w:val="20"/>
              </w:rPr>
              <w:t>Industry / Horseracing</w:t>
            </w:r>
          </w:p>
          <w:p>
            <w:pPr>
              <w:pStyle w:val="TableContents"/>
              <w:bidi w:val="0"/>
              <w:spacing w:before="0" w:after="2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38" w:type="dxa"/>
            <w:tcBorders>
              <w:bottom w:val="single" w:sz="6" w:space="0" w:color="B99C16"/>
            </w:tcBorders>
            <w:tcMar>
              <w:bottom w:w="28" w:type="dxa"/>
            </w:tcMar>
            <w:vAlign w:val="center"/>
          </w:tcPr>
          <w:p>
            <w:pPr>
              <w:pStyle w:val="TableContents"/>
              <w:bidi w:val="0"/>
              <w:spacing w:before="0" w:after="283"/>
              <w:jc w:val="center"/>
              <w:rPr/>
            </w:pPr>
            <w:r>
              <w:rPr/>
              <w:drawing>
                <wp:inline distT="0" distB="0" distL="0" distR="0">
                  <wp:extent cx="303530" cy="276860"/>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3"/>
                          <a:stretch>
                            <a:fillRect/>
                          </a:stretch>
                        </pic:blipFill>
                        <pic:spPr bwMode="auto">
                          <a:xfrm>
                            <a:off x="0" y="0"/>
                            <a:ext cx="303530" cy="276860"/>
                          </a:xfrm>
                          <a:prstGeom prst="rect">
                            <a:avLst/>
                          </a:prstGeom>
                        </pic:spPr>
                      </pic:pic>
                    </a:graphicData>
                  </a:graphic>
                </wp:inline>
              </w:drawing>
            </w:r>
            <w:r>
              <w:rPr/>
              <w:t xml:space="preserve">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7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r>
      <w:tr>
        <w:trPr/>
        <w:tc>
          <w:tcPr>
            <w:tcW w:w="5465" w:type="dxa"/>
            <w:tcBorders/>
            <w:vAlign w:val="center"/>
          </w:tcPr>
          <w:p>
            <w:pPr>
              <w:pStyle w:val="TableContents"/>
              <w:bidi w:val="0"/>
              <w:spacing w:before="0" w:after="283"/>
              <w:jc w:val="left"/>
              <w:rPr>
                <w:sz w:val="4"/>
                <w:szCs w:val="4"/>
              </w:rPr>
            </w:pPr>
            <w:r>
              <w:rPr>
                <w:sz w:val="4"/>
                <w:szCs w:val="4"/>
              </w:rPr>
            </w:r>
          </w:p>
        </w:tc>
        <w:tc>
          <w:tcPr>
            <w:tcW w:w="598" w:type="dxa"/>
            <w:gridSpan w:val="2"/>
            <w:tcBorders/>
            <w:vAlign w:val="center"/>
          </w:tcPr>
          <w:p>
            <w:pPr>
              <w:pStyle w:val="TableContents"/>
              <w:bidi w:val="0"/>
              <w:spacing w:before="0" w:after="283"/>
              <w:jc w:val="left"/>
              <w:rPr>
                <w:sz w:val="4"/>
                <w:szCs w:val="4"/>
              </w:rPr>
            </w:pPr>
            <w:r>
              <w:rPr>
                <w:sz w:val="4"/>
                <w:szCs w:val="4"/>
              </w:rPr>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1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3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r>
      <w:tr>
        <w:trPr/>
        <w:tc>
          <w:tcPr>
            <w:tcW w:w="5465" w:type="dxa"/>
            <w:tcBorders>
              <w:bottom w:val="single" w:sz="6" w:space="0" w:color="B99C16"/>
            </w:tcBorders>
            <w:tcMar>
              <w:bottom w:w="28" w:type="dxa"/>
            </w:tcMar>
            <w:vAlign w:val="center"/>
          </w:tcPr>
          <w:p>
            <w:pPr>
              <w:pStyle w:val="TableContents"/>
              <w:bidi w:val="0"/>
              <w:spacing w:before="0" w:after="0"/>
              <w:jc w:val="left"/>
              <w:rPr>
                <w:rFonts w:ascii="arial" w:hAnsi="arial"/>
                <w:b/>
                <w:sz w:val="20"/>
              </w:rPr>
            </w:pPr>
            <w:r>
              <w:rPr>
                <w:rFonts w:ascii="arial" w:hAnsi="arial"/>
                <w:b/>
                <w:sz w:val="20"/>
              </w:rPr>
              <w:t>Corporate Governance and Diversity</w:t>
            </w:r>
          </w:p>
          <w:p>
            <w:pPr>
              <w:pStyle w:val="TableContents"/>
              <w:bidi w:val="0"/>
              <w:spacing w:before="0" w:after="2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38" w:type="dxa"/>
            <w:tcBorders>
              <w:bottom w:val="single" w:sz="6" w:space="0" w:color="B99C16"/>
            </w:tcBorders>
            <w:tcMar>
              <w:bottom w:w="28" w:type="dxa"/>
            </w:tcMar>
            <w:vAlign w:val="center"/>
          </w:tcPr>
          <w:p>
            <w:pPr>
              <w:pStyle w:val="TableContents"/>
              <w:bidi w:val="0"/>
              <w:spacing w:before="0" w:after="283"/>
              <w:jc w:val="center"/>
              <w:rPr/>
            </w:pPr>
            <w:r>
              <w:rPr/>
              <w:drawing>
                <wp:inline distT="0" distB="0" distL="0" distR="0">
                  <wp:extent cx="271780" cy="252095"/>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4"/>
                          <a:stretch>
                            <a:fillRect/>
                          </a:stretch>
                        </pic:blipFill>
                        <pic:spPr bwMode="auto">
                          <a:xfrm>
                            <a:off x="0" y="0"/>
                            <a:ext cx="271780" cy="252095"/>
                          </a:xfrm>
                          <a:prstGeom prst="rect">
                            <a:avLst/>
                          </a:prstGeom>
                        </pic:spPr>
                      </pic:pic>
                    </a:graphicData>
                  </a:graphic>
                </wp:inline>
              </w:drawing>
            </w:r>
            <w:r>
              <w:rPr/>
              <w:t xml:space="preserve">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5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7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r>
    </w:tbl>
    <w:p>
      <w:pPr>
        <w:pStyle w:val="TextBody"/>
        <w:bidi w:val="0"/>
        <w:spacing w:before="240" w:after="0"/>
        <w:jc w:val="left"/>
        <w:rPr>
          <w:rFonts w:ascii="arial" w:hAnsi="arial"/>
          <w:sz w:val="20"/>
        </w:rPr>
      </w:pPr>
      <w:r>
        <w:rPr>
          <w:rFonts w:ascii="arial" w:hAnsi="arial"/>
          <w:sz w:val="20"/>
        </w:rPr>
        <w:t xml:space="preserve">The table below provides certain diversity information regarding our Board members. </w:t>
      </w:r>
    </w:p>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2210"/>
        <w:gridCol w:w="60"/>
        <w:gridCol w:w="120"/>
        <w:gridCol w:w="60"/>
        <w:gridCol w:w="260"/>
        <w:gridCol w:w="60"/>
        <w:gridCol w:w="260"/>
        <w:gridCol w:w="60"/>
        <w:gridCol w:w="260"/>
        <w:gridCol w:w="60"/>
        <w:gridCol w:w="260"/>
        <w:gridCol w:w="60"/>
        <w:gridCol w:w="260"/>
        <w:gridCol w:w="60"/>
        <w:gridCol w:w="260"/>
        <w:gridCol w:w="60"/>
        <w:gridCol w:w="275"/>
      </w:tblGrid>
      <w:tr>
        <w:trPr/>
        <w:tc>
          <w:tcPr>
            <w:tcW w:w="2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2210" w:type="dxa"/>
            <w:tcBorders>
              <w:bottom w:val="single" w:sz="6" w:space="0" w:color="B99C16"/>
            </w:tcBorders>
            <w:tcMar>
              <w:bottom w:w="120" w:type="dxa"/>
            </w:tcMar>
            <w:vAlign w:val="center"/>
          </w:tcPr>
          <w:p>
            <w:pPr>
              <w:pStyle w:val="TableContents"/>
              <w:bidi w:val="0"/>
              <w:spacing w:before="0" w:after="283"/>
              <w:jc w:val="left"/>
              <w:rPr>
                <w:b/>
                <w:color w:val="004876"/>
                <w:sz w:val="24"/>
              </w:rPr>
            </w:pPr>
            <w:r>
              <w:rPr>
                <w:b/>
                <w:color w:val="004876"/>
                <w:sz w:val="24"/>
              </w:rPr>
              <w:t>Background</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3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r>
      <w:tr>
        <w:trPr/>
        <w:tc>
          <w:tcPr>
            <w:tcW w:w="2210" w:type="dxa"/>
            <w:tcBorders>
              <w:bottom w:val="single" w:sz="6" w:space="0" w:color="B99C16"/>
            </w:tcBorders>
            <w:tcMar>
              <w:bottom w:w="28" w:type="dxa"/>
            </w:tcMar>
            <w:vAlign w:val="center"/>
          </w:tcPr>
          <w:p>
            <w:pPr>
              <w:pStyle w:val="TableContents"/>
              <w:bidi w:val="0"/>
              <w:spacing w:before="0" w:after="283"/>
              <w:jc w:val="left"/>
              <w:rPr>
                <w:b/>
              </w:rPr>
            </w:pPr>
            <w:r>
              <w:rPr>
                <w:b/>
              </w:rPr>
              <w:t>Age</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58</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56</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58</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70</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67</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70</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7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62</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2210" w:type="dxa"/>
            <w:tcBorders>
              <w:bottom w:val="single" w:sz="6" w:space="0" w:color="B99C16"/>
            </w:tcBorders>
            <w:tcMar>
              <w:bottom w:w="120" w:type="dxa"/>
            </w:tcMar>
            <w:vAlign w:val="center"/>
          </w:tcPr>
          <w:p>
            <w:pPr>
              <w:pStyle w:val="TableContents"/>
              <w:bidi w:val="0"/>
              <w:spacing w:before="0" w:after="283"/>
              <w:jc w:val="left"/>
              <w:rPr>
                <w:b/>
                <w:sz w:val="20"/>
              </w:rPr>
            </w:pPr>
            <w:r>
              <w:rPr>
                <w:b/>
                <w:sz w:val="20"/>
              </w:rPr>
              <w:t>Gender Identity</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3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r>
      <w:tr>
        <w:trPr/>
        <w:tc>
          <w:tcPr>
            <w:tcW w:w="2210" w:type="dxa"/>
            <w:tcBorders>
              <w:bottom w:val="single" w:sz="6" w:space="0" w:color="B99C16"/>
            </w:tcBorders>
            <w:tcMar>
              <w:bottom w:w="28" w:type="dxa"/>
            </w:tcMar>
            <w:vAlign w:val="center"/>
          </w:tcPr>
          <w:p>
            <w:pPr>
              <w:pStyle w:val="TableContents"/>
              <w:bidi w:val="0"/>
              <w:spacing w:before="0" w:after="0"/>
              <w:jc w:val="left"/>
              <w:rPr>
                <w:rFonts w:ascii="arial" w:hAnsi="arial"/>
                <w:sz w:val="20"/>
              </w:rPr>
            </w:pPr>
            <w:r>
              <w:rPr>
                <w:rFonts w:ascii="arial" w:hAnsi="arial"/>
                <w:sz w:val="20"/>
              </w:rPr>
              <w:t>Male</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7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3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r>
      <w:tr>
        <w:trPr/>
        <w:tc>
          <w:tcPr>
            <w:tcW w:w="2210" w:type="dxa"/>
            <w:tcBorders>
              <w:bottom w:val="single" w:sz="6" w:space="0" w:color="B99C16"/>
            </w:tcBorders>
            <w:tcMar>
              <w:bottom w:w="28" w:type="dxa"/>
            </w:tcMar>
            <w:vAlign w:val="center"/>
          </w:tcPr>
          <w:p>
            <w:pPr>
              <w:pStyle w:val="TableContents"/>
              <w:bidi w:val="0"/>
              <w:spacing w:before="0" w:after="0"/>
              <w:jc w:val="left"/>
              <w:rPr>
                <w:rFonts w:ascii="arial" w:hAnsi="arial"/>
                <w:sz w:val="20"/>
              </w:rPr>
            </w:pPr>
            <w:r>
              <w:rPr>
                <w:rFonts w:ascii="arial" w:hAnsi="arial"/>
                <w:sz w:val="20"/>
              </w:rPr>
              <w:t>Female</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75"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2210" w:type="dxa"/>
            <w:tcBorders>
              <w:bottom w:val="single" w:sz="6" w:space="0" w:color="B99C16"/>
            </w:tcBorders>
            <w:tcMar>
              <w:bottom w:w="120" w:type="dxa"/>
            </w:tcMar>
            <w:vAlign w:val="center"/>
          </w:tcPr>
          <w:p>
            <w:pPr>
              <w:pStyle w:val="TableContents"/>
              <w:bidi w:val="0"/>
              <w:spacing w:before="0" w:after="283"/>
              <w:jc w:val="left"/>
              <w:rPr>
                <w:b/>
                <w:sz w:val="20"/>
              </w:rPr>
            </w:pPr>
            <w:r>
              <w:rPr>
                <w:b/>
                <w:sz w:val="20"/>
              </w:rPr>
              <w:t>Race/Ethnicity</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3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r>
      <w:tr>
        <w:trPr/>
        <w:tc>
          <w:tcPr>
            <w:tcW w:w="2210" w:type="dxa"/>
            <w:tcBorders>
              <w:bottom w:val="single" w:sz="6" w:space="0" w:color="B99C16"/>
            </w:tcBorders>
            <w:tcMar>
              <w:bottom w:w="28" w:type="dxa"/>
            </w:tcMar>
            <w:vAlign w:val="center"/>
          </w:tcPr>
          <w:p>
            <w:pPr>
              <w:pStyle w:val="TableContents"/>
              <w:bidi w:val="0"/>
              <w:spacing w:before="0" w:after="0"/>
              <w:jc w:val="left"/>
              <w:rPr>
                <w:rFonts w:ascii="arial" w:hAnsi="arial"/>
                <w:sz w:val="20"/>
              </w:rPr>
            </w:pPr>
            <w:r>
              <w:rPr>
                <w:rFonts w:ascii="arial" w:hAnsi="arial"/>
                <w:sz w:val="20"/>
              </w:rPr>
              <w:t>Black / African American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75"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20"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c>
          <w:tcPr>
            <w:tcW w:w="335" w:type="dxa"/>
            <w:gridSpan w:val="2"/>
            <w:tcBorders>
              <w:left w:val="single" w:sz="6" w:space="0" w:color="B99C16"/>
            </w:tcBorders>
            <w:shd w:fill="F4F0DC" w:val="clear"/>
            <w:tcMar>
              <w:left w:w="28" w:type="dxa"/>
            </w:tcMar>
            <w:vAlign w:val="center"/>
          </w:tcPr>
          <w:p>
            <w:pPr>
              <w:pStyle w:val="TableContents"/>
              <w:bidi w:val="0"/>
              <w:spacing w:before="0" w:after="283"/>
              <w:jc w:val="left"/>
              <w:rPr/>
            </w:pPr>
            <w:r>
              <w:rPr/>
              <w:t> </w:t>
            </w:r>
          </w:p>
        </w:tc>
      </w:tr>
      <w:tr>
        <w:trPr/>
        <w:tc>
          <w:tcPr>
            <w:tcW w:w="2210" w:type="dxa"/>
            <w:tcBorders>
              <w:bottom w:val="single" w:sz="6" w:space="0" w:color="B99C16"/>
            </w:tcBorders>
            <w:tcMar>
              <w:bottom w:w="28" w:type="dxa"/>
            </w:tcMar>
            <w:vAlign w:val="center"/>
          </w:tcPr>
          <w:p>
            <w:pPr>
              <w:pStyle w:val="TableContents"/>
              <w:bidi w:val="0"/>
              <w:spacing w:before="0" w:after="0"/>
              <w:jc w:val="left"/>
              <w:rPr>
                <w:rFonts w:ascii="arial" w:hAnsi="arial"/>
                <w:sz w:val="20"/>
              </w:rPr>
            </w:pPr>
            <w:r>
              <w:rPr>
                <w:rFonts w:ascii="arial" w:hAnsi="arial"/>
                <w:sz w:val="20"/>
              </w:rPr>
              <w:t>White</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c>
          <w:tcPr>
            <w:tcW w:w="60" w:type="dxa"/>
            <w:tcBorders>
              <w:left w:val="single" w:sz="6" w:space="0" w:color="B99C16"/>
              <w:bottom w:val="single" w:sz="6" w:space="0" w:color="B99C16"/>
            </w:tcBorders>
            <w:shd w:fill="F4F0DC" w:val="clear"/>
            <w:tcMar>
              <w:left w:w="28" w:type="dxa"/>
              <w:bottom w:w="28" w:type="dxa"/>
            </w:tcMar>
            <w:vAlign w:val="center"/>
          </w:tcPr>
          <w:p>
            <w:pPr>
              <w:pStyle w:val="TableContents"/>
              <w:bidi w:val="0"/>
              <w:spacing w:before="0" w:after="283"/>
              <w:jc w:val="left"/>
              <w:rPr/>
            </w:pPr>
            <w:r>
              <w:rPr/>
              <w:t> </w:t>
            </w:r>
          </w:p>
        </w:tc>
        <w:tc>
          <w:tcPr>
            <w:tcW w:w="275" w:type="dxa"/>
            <w:tcBorders>
              <w:bottom w:val="single" w:sz="6" w:space="0" w:color="B99C16"/>
            </w:tcBorders>
            <w:shd w:fill="F4F0DC" w:val="clear"/>
            <w:tcMar>
              <w:bottom w:w="28" w:type="dxa"/>
            </w:tcMar>
            <w:vAlign w:val="center"/>
          </w:tcPr>
          <w:p>
            <w:pPr>
              <w:pStyle w:val="TableContents"/>
              <w:bidi w:val="0"/>
              <w:spacing w:before="0" w:after="283"/>
              <w:jc w:val="center"/>
              <w:rPr>
                <w:color w:val="004876"/>
              </w:rPr>
            </w:pPr>
            <w:r>
              <w:rPr>
                <w:color w:val="004876"/>
              </w:rPr>
              <w:t>●</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12</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5"/>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Election of Directors (Proposal No. 1)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004876"/>
          <w:sz w:val="20"/>
        </w:rPr>
      </w:pPr>
      <w:bookmarkStart w:id="13" w:name="toc123994_11"/>
      <w:bookmarkEnd w:id="13"/>
      <w:r>
        <w:rPr>
          <w:rFonts w:ascii="arial" w:hAnsi="arial"/>
          <w:b/>
          <w:color w:val="004876"/>
          <w:sz w:val="20"/>
        </w:rPr>
        <w:t xml:space="preserve">Retirement Age Policy </w:t>
      </w:r>
    </w:p>
    <w:p>
      <w:pPr>
        <w:pStyle w:val="TextBody"/>
        <w:bidi w:val="0"/>
        <w:spacing w:before="120" w:after="0"/>
        <w:jc w:val="left"/>
        <w:rPr>
          <w:rFonts w:ascii="arial" w:hAnsi="arial"/>
          <w:sz w:val="20"/>
        </w:rPr>
      </w:pPr>
      <w:r>
        <w:rPr>
          <w:rFonts w:ascii="arial" w:hAnsi="arial"/>
          <w:sz w:val="20"/>
        </w:rPr>
        <w:t xml:space="preserve">The Company has a mandatory retirement age policy in the Corporate Governance Guidelines with regard to directors, which provides that a person is not qualified to serve as a director unless he or she is less than seventy-five (75) years of age on the date of election. No director nominees in Class III will have met the mandatory retirement age as of the date of the Annual Meeting. </w:t>
      </w:r>
    </w:p>
    <w:p>
      <w:pPr>
        <w:pStyle w:val="TextBody"/>
        <w:bidi w:val="0"/>
        <w:spacing w:before="360" w:after="0"/>
        <w:jc w:val="left"/>
        <w:rPr>
          <w:rFonts w:ascii="arial" w:hAnsi="arial"/>
          <w:b/>
          <w:color w:val="004876"/>
          <w:sz w:val="20"/>
        </w:rPr>
      </w:pPr>
      <w:bookmarkStart w:id="14" w:name="toc123994_12"/>
      <w:bookmarkEnd w:id="14"/>
      <w:r>
        <w:rPr>
          <w:rFonts w:ascii="arial" w:hAnsi="arial"/>
          <w:b/>
          <w:color w:val="004876"/>
          <w:sz w:val="20"/>
        </w:rPr>
        <w:t xml:space="preserve">Director Compensation for Fiscal Year Ended December 31, 2025 </w:t>
      </w:r>
    </w:p>
    <w:p>
      <w:pPr>
        <w:pStyle w:val="TextBody"/>
        <w:bidi w:val="0"/>
        <w:spacing w:before="120" w:after="0"/>
        <w:jc w:val="left"/>
        <w:rPr>
          <w:rFonts w:ascii="arial" w:hAnsi="arial"/>
          <w:sz w:val="20"/>
        </w:rPr>
      </w:pPr>
      <w:r>
        <w:rPr>
          <w:rFonts w:ascii="arial" w:hAnsi="arial"/>
          <w:sz w:val="20"/>
        </w:rPr>
        <w:t xml:space="preserve">During 2025, each non-employee director of the Board of Directors received the compensation set forth below (all fees shown are annual fees). After considering market data and the input of the Compensation Committee’s independent compensation consultant, the Company increased the Retainer Fee from $75,000 to $105,000 and the Stock Award from $155,000 to $205,000 and eliminated the Meeting Fee that was provided to reimburse travel expenses for directors not residing in Louisville, Kentucky. </w:t>
      </w:r>
    </w:p>
    <w:p>
      <w:pPr>
        <w:pStyle w:val="TextBody"/>
        <w:bidi w:val="0"/>
        <w:spacing w:before="0" w:after="0"/>
        <w:jc w:val="left"/>
        <w:rPr/>
      </w:pPr>
      <w:r>
        <w:rPr/>
        <w:t> </w:t>
      </w:r>
    </w:p>
    <w:tbl>
      <w:tblPr>
        <w:tblW w:w="9523" w:type="dxa"/>
        <w:jc w:val="left"/>
        <w:tblInd w:w="0" w:type="dxa"/>
        <w:tblLayout w:type="fixed"/>
        <w:tblCellMar>
          <w:top w:w="0" w:type="dxa"/>
          <w:left w:w="0" w:type="dxa"/>
          <w:bottom w:w="0" w:type="dxa"/>
          <w:right w:w="0" w:type="dxa"/>
        </w:tblCellMar>
      </w:tblPr>
      <w:tblGrid>
        <w:gridCol w:w="3500"/>
        <w:gridCol w:w="120"/>
        <w:gridCol w:w="68"/>
        <w:gridCol w:w="911"/>
        <w:gridCol w:w="60"/>
        <w:gridCol w:w="120"/>
        <w:gridCol w:w="99"/>
        <w:gridCol w:w="1330"/>
        <w:gridCol w:w="60"/>
        <w:gridCol w:w="120"/>
        <w:gridCol w:w="74"/>
        <w:gridCol w:w="996"/>
        <w:gridCol w:w="350"/>
        <w:gridCol w:w="60"/>
        <w:gridCol w:w="128"/>
        <w:gridCol w:w="1452"/>
        <w:gridCol w:w="75"/>
      </w:tblGrid>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00" w:type="dxa"/>
            <w:tcBorders/>
            <w:shd w:fill="004876" w:val="clear"/>
            <w:vAlign w:val="center"/>
          </w:tcPr>
          <w:p>
            <w:pPr>
              <w:pStyle w:val="TableContents"/>
              <w:bidi w:val="0"/>
              <w:spacing w:before="0" w:after="283"/>
              <w:jc w:val="left"/>
              <w:rPr>
                <w:sz w:val="4"/>
                <w:szCs w:val="4"/>
              </w:rPr>
            </w:pPr>
            <w:r>
              <w:rPr>
                <w:sz w:val="4"/>
                <w:szCs w:val="4"/>
              </w:rPr>
            </w:r>
          </w:p>
        </w:tc>
        <w:tc>
          <w:tcPr>
            <w:tcW w:w="1159" w:type="dxa"/>
            <w:gridSpan w:val="4"/>
            <w:tcBorders/>
            <w:shd w:fill="004876" w:val="clear"/>
            <w:vAlign w:val="center"/>
          </w:tcPr>
          <w:p>
            <w:pPr>
              <w:pStyle w:val="TableContents"/>
              <w:bidi w:val="0"/>
              <w:spacing w:before="0" w:after="283"/>
              <w:jc w:val="left"/>
              <w:rPr>
                <w:sz w:val="4"/>
                <w:szCs w:val="4"/>
              </w:rPr>
            </w:pPr>
            <w:r>
              <w:rPr>
                <w:sz w:val="4"/>
                <w:szCs w:val="4"/>
              </w:rPr>
            </w:r>
          </w:p>
        </w:tc>
        <w:tc>
          <w:tcPr>
            <w:tcW w:w="1609" w:type="dxa"/>
            <w:gridSpan w:val="4"/>
            <w:tcBorders/>
            <w:shd w:fill="004876" w:val="clear"/>
            <w:vAlign w:val="center"/>
          </w:tcPr>
          <w:p>
            <w:pPr>
              <w:pStyle w:val="TableContents"/>
              <w:bidi w:val="0"/>
              <w:spacing w:before="0" w:after="283"/>
              <w:jc w:val="left"/>
              <w:rPr>
                <w:sz w:val="4"/>
                <w:szCs w:val="4"/>
              </w:rPr>
            </w:pPr>
            <w:r>
              <w:rPr>
                <w:sz w:val="4"/>
                <w:szCs w:val="4"/>
              </w:rPr>
            </w:r>
          </w:p>
        </w:tc>
        <w:tc>
          <w:tcPr>
            <w:tcW w:w="1540" w:type="dxa"/>
            <w:gridSpan w:val="4"/>
            <w:tcBorders/>
            <w:shd w:fill="004876" w:val="clear"/>
            <w:vAlign w:val="center"/>
          </w:tcPr>
          <w:p>
            <w:pPr>
              <w:pStyle w:val="TableContents"/>
              <w:bidi w:val="0"/>
              <w:spacing w:before="0" w:after="283"/>
              <w:jc w:val="left"/>
              <w:rPr>
                <w:sz w:val="4"/>
                <w:szCs w:val="4"/>
              </w:rPr>
            </w:pPr>
            <w:r>
              <w:rPr>
                <w:sz w:val="4"/>
                <w:szCs w:val="4"/>
              </w:rPr>
            </w:r>
          </w:p>
        </w:tc>
        <w:tc>
          <w:tcPr>
            <w:tcW w:w="1715" w:type="dxa"/>
            <w:gridSpan w:val="4"/>
            <w:tcBorders/>
            <w:shd w:fill="004876" w:val="clear"/>
            <w:vAlign w:val="center"/>
          </w:tcPr>
          <w:p>
            <w:pPr>
              <w:pStyle w:val="TableContents"/>
              <w:bidi w:val="0"/>
              <w:spacing w:before="0" w:after="283"/>
              <w:jc w:val="left"/>
              <w:rPr>
                <w:sz w:val="4"/>
                <w:szCs w:val="4"/>
              </w:rPr>
            </w:pPr>
            <w:r>
              <w:rPr>
                <w:sz w:val="4"/>
                <w:szCs w:val="4"/>
              </w:rPr>
            </w:r>
          </w:p>
        </w:tc>
      </w:tr>
      <w:tr>
        <w:trPr/>
        <w:tc>
          <w:tcPr>
            <w:tcW w:w="3500" w:type="dxa"/>
            <w:tcBorders/>
            <w:shd w:fill="004876" w:val="clear"/>
            <w:vAlign w:val="center"/>
          </w:tcPr>
          <w:p>
            <w:pPr>
              <w:pStyle w:val="TableContents"/>
              <w:bidi w:val="0"/>
              <w:spacing w:before="0" w:after="283"/>
              <w:jc w:val="left"/>
              <w:rPr/>
            </w:pPr>
            <w:r>
              <w:rPr/>
              <w:t> </w:t>
            </w:r>
          </w:p>
        </w:tc>
        <w:tc>
          <w:tcPr>
            <w:tcW w:w="120" w:type="dxa"/>
            <w:tcBorders/>
            <w:shd w:fill="004876" w:val="clear"/>
            <w:vAlign w:val="center"/>
          </w:tcPr>
          <w:p>
            <w:pPr>
              <w:pStyle w:val="TableContents"/>
              <w:bidi w:val="0"/>
              <w:spacing w:before="0" w:after="283"/>
              <w:jc w:val="left"/>
              <w:rPr/>
            </w:pPr>
            <w:r>
              <w:rPr/>
              <w:t>  </w:t>
            </w:r>
          </w:p>
        </w:tc>
        <w:tc>
          <w:tcPr>
            <w:tcW w:w="979" w:type="dxa"/>
            <w:gridSpan w:val="2"/>
            <w:tcBorders/>
            <w:shd w:fill="004876" w:val="clear"/>
            <w:vAlign w:val="center"/>
          </w:tcPr>
          <w:p>
            <w:pPr>
              <w:pStyle w:val="TableContents"/>
              <w:bidi w:val="0"/>
              <w:spacing w:before="0" w:after="283"/>
              <w:jc w:val="center"/>
              <w:rPr>
                <w:b/>
                <w:color w:val="FFFFFF"/>
              </w:rPr>
            </w:pPr>
            <w:r>
              <w:rPr>
                <w:b/>
                <w:color w:val="FFFFFF"/>
              </w:rPr>
              <w:t>Retainer</w:t>
              <w:br/>
              <w:t>Fee ($)(1)</w:t>
            </w:r>
          </w:p>
        </w:tc>
        <w:tc>
          <w:tcPr>
            <w:tcW w:w="60" w:type="dxa"/>
            <w:tcBorders/>
            <w:shd w:fill="004876" w:val="clear"/>
            <w:vAlign w:val="center"/>
          </w:tcPr>
          <w:p>
            <w:pPr>
              <w:pStyle w:val="TableContents"/>
              <w:bidi w:val="0"/>
              <w:spacing w:before="0" w:after="283"/>
              <w:jc w:val="left"/>
              <w:rPr/>
            </w:pPr>
            <w:r>
              <w:rPr/>
              <w:t> </w:t>
            </w:r>
          </w:p>
        </w:tc>
        <w:tc>
          <w:tcPr>
            <w:tcW w:w="120" w:type="dxa"/>
            <w:tcBorders/>
            <w:shd w:fill="004876" w:val="clear"/>
            <w:vAlign w:val="center"/>
          </w:tcPr>
          <w:p>
            <w:pPr>
              <w:pStyle w:val="TableContents"/>
              <w:bidi w:val="0"/>
              <w:spacing w:before="0" w:after="283"/>
              <w:jc w:val="left"/>
              <w:rPr/>
            </w:pPr>
            <w:r>
              <w:rPr/>
              <w:t>  </w:t>
            </w:r>
          </w:p>
        </w:tc>
        <w:tc>
          <w:tcPr>
            <w:tcW w:w="1429" w:type="dxa"/>
            <w:gridSpan w:val="2"/>
            <w:tcBorders/>
            <w:shd w:fill="004876" w:val="clear"/>
            <w:vAlign w:val="center"/>
          </w:tcPr>
          <w:p>
            <w:pPr>
              <w:pStyle w:val="TableContents"/>
              <w:bidi w:val="0"/>
              <w:spacing w:before="0" w:after="283"/>
              <w:jc w:val="center"/>
              <w:rPr>
                <w:b/>
                <w:color w:val="FFFFFF"/>
              </w:rPr>
            </w:pPr>
            <w:r>
              <w:rPr>
                <w:b/>
                <w:color w:val="FFFFFF"/>
              </w:rPr>
              <w:t>Stock</w:t>
              <w:br/>
              <w:t>Awards ($)(2)</w:t>
            </w:r>
          </w:p>
        </w:tc>
        <w:tc>
          <w:tcPr>
            <w:tcW w:w="60" w:type="dxa"/>
            <w:tcBorders/>
            <w:shd w:fill="004876" w:val="clear"/>
            <w:vAlign w:val="center"/>
          </w:tcPr>
          <w:p>
            <w:pPr>
              <w:pStyle w:val="TableContents"/>
              <w:bidi w:val="0"/>
              <w:spacing w:before="0" w:after="283"/>
              <w:jc w:val="left"/>
              <w:rPr/>
            </w:pPr>
            <w:r>
              <w:rPr/>
              <w:t> </w:t>
            </w:r>
          </w:p>
        </w:tc>
        <w:tc>
          <w:tcPr>
            <w:tcW w:w="120" w:type="dxa"/>
            <w:tcBorders/>
            <w:shd w:fill="004876" w:val="clear"/>
            <w:vAlign w:val="center"/>
          </w:tcPr>
          <w:p>
            <w:pPr>
              <w:pStyle w:val="TableContents"/>
              <w:bidi w:val="0"/>
              <w:spacing w:before="0" w:after="283"/>
              <w:jc w:val="left"/>
              <w:rPr/>
            </w:pPr>
            <w:r>
              <w:rPr/>
              <w:t>  </w:t>
            </w:r>
          </w:p>
        </w:tc>
        <w:tc>
          <w:tcPr>
            <w:tcW w:w="1070" w:type="dxa"/>
            <w:gridSpan w:val="2"/>
            <w:tcBorders/>
            <w:shd w:fill="004876" w:val="clear"/>
            <w:vAlign w:val="center"/>
          </w:tcPr>
          <w:p>
            <w:pPr>
              <w:pStyle w:val="TableContents"/>
              <w:bidi w:val="0"/>
              <w:spacing w:before="0" w:after="283"/>
              <w:jc w:val="center"/>
              <w:rPr>
                <w:b/>
                <w:color w:val="FFFFFF"/>
              </w:rPr>
            </w:pPr>
            <w:r>
              <w:rPr>
                <w:b/>
                <w:color w:val="FFFFFF"/>
              </w:rPr>
              <w:t>Chairman</w:t>
              <w:br/>
              <w:t>Fee ($)</w:t>
            </w:r>
          </w:p>
        </w:tc>
        <w:tc>
          <w:tcPr>
            <w:tcW w:w="350" w:type="dxa"/>
            <w:tcBorders/>
            <w:shd w:fill="004876" w:val="clear"/>
            <w:vAlign w:val="center"/>
          </w:tcPr>
          <w:p>
            <w:pPr>
              <w:pStyle w:val="TableContents"/>
              <w:bidi w:val="0"/>
              <w:spacing w:before="0" w:after="283"/>
              <w:jc w:val="left"/>
              <w:rPr/>
            </w:pPr>
            <w:r>
              <w:rPr/>
              <w:t> </w:t>
            </w:r>
          </w:p>
        </w:tc>
        <w:tc>
          <w:tcPr>
            <w:tcW w:w="60" w:type="dxa"/>
            <w:tcBorders/>
            <w:shd w:fill="004876" w:val="clear"/>
            <w:vAlign w:val="center"/>
          </w:tcPr>
          <w:p>
            <w:pPr>
              <w:pStyle w:val="TableContents"/>
              <w:bidi w:val="0"/>
              <w:spacing w:before="0" w:after="283"/>
              <w:jc w:val="left"/>
              <w:rPr/>
            </w:pPr>
            <w:r>
              <w:rPr/>
              <w:t> </w:t>
            </w:r>
          </w:p>
        </w:tc>
        <w:tc>
          <w:tcPr>
            <w:tcW w:w="1580" w:type="dxa"/>
            <w:gridSpan w:val="2"/>
            <w:tcBorders/>
            <w:shd w:fill="004876" w:val="clear"/>
            <w:vAlign w:val="center"/>
          </w:tcPr>
          <w:p>
            <w:pPr>
              <w:pStyle w:val="TableContents"/>
              <w:bidi w:val="0"/>
              <w:spacing w:before="0" w:after="283"/>
              <w:jc w:val="center"/>
              <w:rPr>
                <w:b/>
                <w:color w:val="FFFFFF"/>
              </w:rPr>
            </w:pPr>
            <w:r>
              <w:rPr>
                <w:b/>
                <w:color w:val="FFFFFF"/>
              </w:rPr>
              <w:t>Non-Chairman</w:t>
              <w:br/>
              <w:t>Fee ($)</w:t>
            </w:r>
          </w:p>
        </w:tc>
        <w:tc>
          <w:tcPr>
            <w:tcW w:w="75" w:type="dxa"/>
            <w:tcBorders/>
            <w:shd w:fill="004876" w:val="clear"/>
            <w:vAlign w:val="center"/>
          </w:tcPr>
          <w:p>
            <w:pPr>
              <w:pStyle w:val="TableContents"/>
              <w:bidi w:val="0"/>
              <w:spacing w:before="0" w:after="283"/>
              <w:jc w:val="left"/>
              <w:rPr/>
            </w:pPr>
            <w:r>
              <w:rPr/>
              <w:t> </w:t>
            </w:r>
          </w:p>
        </w:tc>
      </w:tr>
      <w:tr>
        <w:trPr/>
        <w:tc>
          <w:tcPr>
            <w:tcW w:w="3500" w:type="dxa"/>
            <w:tcBorders/>
            <w:shd w:fill="F4F0DC" w:val="clear"/>
            <w:vAlign w:val="center"/>
          </w:tcPr>
          <w:p>
            <w:pPr>
              <w:pStyle w:val="TableContents"/>
              <w:bidi w:val="0"/>
              <w:spacing w:before="0" w:after="283"/>
              <w:jc w:val="left"/>
              <w:rPr>
                <w:sz w:val="4"/>
                <w:szCs w:val="4"/>
              </w:rPr>
            </w:pPr>
            <w:r>
              <w:rPr>
                <w:sz w:val="4"/>
                <w:szCs w:val="4"/>
              </w:rPr>
            </w:r>
          </w:p>
        </w:tc>
        <w:tc>
          <w:tcPr>
            <w:tcW w:w="1159" w:type="dxa"/>
            <w:gridSpan w:val="4"/>
            <w:tcBorders/>
            <w:vAlign w:val="center"/>
          </w:tcPr>
          <w:p>
            <w:pPr>
              <w:pStyle w:val="TableContents"/>
              <w:bidi w:val="0"/>
              <w:spacing w:before="0" w:after="283"/>
              <w:jc w:val="left"/>
              <w:rPr>
                <w:sz w:val="4"/>
                <w:szCs w:val="4"/>
              </w:rPr>
            </w:pPr>
            <w:r>
              <w:rPr>
                <w:sz w:val="4"/>
                <w:szCs w:val="4"/>
              </w:rPr>
            </w:r>
          </w:p>
        </w:tc>
        <w:tc>
          <w:tcPr>
            <w:tcW w:w="1609"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r>
      <w:tr>
        <w:trPr/>
        <w:tc>
          <w:tcPr>
            <w:tcW w:w="3500"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Board of Directors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8" w:type="dxa"/>
            <w:tcBorders>
              <w:bottom w:val="single" w:sz="6" w:space="0" w:color="B99C16"/>
            </w:tcBorders>
            <w:tcMar>
              <w:bottom w:w="80" w:type="dxa"/>
            </w:tcMar>
            <w:vAlign w:val="center"/>
          </w:tcPr>
          <w:p>
            <w:pPr>
              <w:pStyle w:val="TableContents"/>
              <w:bidi w:val="0"/>
              <w:spacing w:before="0" w:after="283"/>
              <w:jc w:val="left"/>
              <w:rPr/>
            </w:pPr>
            <w:r>
              <w:rPr/>
              <w:t> </w:t>
            </w:r>
          </w:p>
        </w:tc>
        <w:tc>
          <w:tcPr>
            <w:tcW w:w="911" w:type="dxa"/>
            <w:tcBorders>
              <w:bottom w:val="single" w:sz="6" w:space="0" w:color="B99C16"/>
            </w:tcBorders>
            <w:tcMar>
              <w:bottom w:w="80" w:type="dxa"/>
            </w:tcMar>
            <w:vAlign w:val="center"/>
          </w:tcPr>
          <w:p>
            <w:pPr>
              <w:pStyle w:val="TableContents"/>
              <w:bidi w:val="0"/>
              <w:spacing w:before="0" w:after="283"/>
              <w:jc w:val="right"/>
              <w:rPr/>
            </w:pPr>
            <w:r>
              <w:rPr/>
              <w:t>105,000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9" w:type="dxa"/>
            <w:tcBorders>
              <w:bottom w:val="single" w:sz="6" w:space="0" w:color="B99C16"/>
            </w:tcBorders>
            <w:tcMar>
              <w:bottom w:w="80" w:type="dxa"/>
            </w:tcMar>
            <w:vAlign w:val="center"/>
          </w:tcPr>
          <w:p>
            <w:pPr>
              <w:pStyle w:val="TableContents"/>
              <w:bidi w:val="0"/>
              <w:spacing w:before="0" w:after="283"/>
              <w:jc w:val="left"/>
              <w:rPr/>
            </w:pPr>
            <w:r>
              <w:rPr/>
              <w:t> </w:t>
            </w:r>
          </w:p>
        </w:tc>
        <w:tc>
          <w:tcPr>
            <w:tcW w:w="1330" w:type="dxa"/>
            <w:tcBorders>
              <w:bottom w:val="single" w:sz="6" w:space="0" w:color="B99C16"/>
            </w:tcBorders>
            <w:tcMar>
              <w:bottom w:w="80" w:type="dxa"/>
            </w:tcMar>
            <w:vAlign w:val="center"/>
          </w:tcPr>
          <w:p>
            <w:pPr>
              <w:pStyle w:val="TableContents"/>
              <w:bidi w:val="0"/>
              <w:spacing w:before="0" w:after="283"/>
              <w:jc w:val="right"/>
              <w:rPr/>
            </w:pPr>
            <w:r>
              <w:rPr/>
              <w:t>205,000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74" w:type="dxa"/>
            <w:tcBorders>
              <w:bottom w:val="single" w:sz="6" w:space="0" w:color="B99C16"/>
            </w:tcBorders>
            <w:tcMar>
              <w:bottom w:w="80" w:type="dxa"/>
            </w:tcMar>
            <w:vAlign w:val="center"/>
          </w:tcPr>
          <w:p>
            <w:pPr>
              <w:pStyle w:val="TableContents"/>
              <w:bidi w:val="0"/>
              <w:spacing w:before="0" w:after="283"/>
              <w:jc w:val="left"/>
              <w:rPr/>
            </w:pPr>
            <w:r>
              <w:rPr/>
              <w:t> </w:t>
            </w:r>
          </w:p>
        </w:tc>
        <w:tc>
          <w:tcPr>
            <w:tcW w:w="996" w:type="dxa"/>
            <w:tcBorders>
              <w:bottom w:val="single" w:sz="6" w:space="0" w:color="B99C16"/>
            </w:tcBorders>
            <w:tcMar>
              <w:bottom w:w="80" w:type="dxa"/>
            </w:tcMar>
            <w:vAlign w:val="center"/>
          </w:tcPr>
          <w:p>
            <w:pPr>
              <w:pStyle w:val="TableContents"/>
              <w:bidi w:val="0"/>
              <w:spacing w:before="0" w:after="283"/>
              <w:jc w:val="right"/>
              <w:rPr/>
            </w:pPr>
            <w:r>
              <w:rPr/>
              <w:t>155,000</w:t>
            </w:r>
          </w:p>
        </w:tc>
        <w:tc>
          <w:tcPr>
            <w:tcW w:w="350" w:type="dxa"/>
            <w:tcBorders>
              <w:bottom w:val="single" w:sz="6" w:space="0" w:color="B99C16"/>
            </w:tcBorders>
            <w:tcMar>
              <w:bottom w:w="80" w:type="dxa"/>
            </w:tcMar>
            <w:vAlign w:val="center"/>
          </w:tcPr>
          <w:p>
            <w:pPr>
              <w:pStyle w:val="TableContents"/>
              <w:bidi w:val="0"/>
              <w:spacing w:before="0" w:after="283"/>
              <w:jc w:val="left"/>
              <w:rPr/>
            </w:pPr>
            <w:r>
              <w:rPr/>
              <w:t>(3)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8" w:type="dxa"/>
            <w:tcBorders>
              <w:bottom w:val="single" w:sz="6" w:space="0" w:color="B99C16"/>
            </w:tcBorders>
            <w:tcMar>
              <w:bottom w:w="28" w:type="dxa"/>
            </w:tcMar>
            <w:vAlign w:val="center"/>
          </w:tcPr>
          <w:p>
            <w:pPr>
              <w:pStyle w:val="TableContents"/>
              <w:bidi w:val="0"/>
              <w:spacing w:before="0" w:after="283"/>
              <w:jc w:val="left"/>
              <w:rPr/>
            </w:pPr>
            <w:r>
              <w:rPr/>
              <w:t> </w:t>
            </w:r>
          </w:p>
        </w:tc>
        <w:tc>
          <w:tcPr>
            <w:tcW w:w="1452" w:type="dxa"/>
            <w:tcBorders>
              <w:bottom w:val="single" w:sz="6" w:space="0" w:color="B99C16"/>
            </w:tcBorders>
            <w:tcMar>
              <w:bottom w:w="28" w:type="dxa"/>
            </w:tcMar>
            <w:vAlign w:val="center"/>
          </w:tcPr>
          <w:p>
            <w:pPr>
              <w:pStyle w:val="TableContents"/>
              <w:bidi w:val="0"/>
              <w:spacing w:before="0" w:after="283"/>
              <w:jc w:val="left"/>
              <w:rPr/>
            </w:pPr>
            <w:r>
              <w:rPr/>
              <w:t> </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3500" w:type="dxa"/>
            <w:tcBorders/>
            <w:shd w:fill="F4F0DC" w:val="clear"/>
            <w:vAlign w:val="center"/>
          </w:tcPr>
          <w:p>
            <w:pPr>
              <w:pStyle w:val="TableContents"/>
              <w:bidi w:val="0"/>
              <w:spacing w:before="0" w:after="283"/>
              <w:jc w:val="left"/>
              <w:rPr>
                <w:sz w:val="4"/>
                <w:szCs w:val="4"/>
              </w:rPr>
            </w:pPr>
            <w:r>
              <w:rPr>
                <w:sz w:val="4"/>
                <w:szCs w:val="4"/>
              </w:rPr>
            </w:r>
          </w:p>
        </w:tc>
        <w:tc>
          <w:tcPr>
            <w:tcW w:w="1159" w:type="dxa"/>
            <w:gridSpan w:val="4"/>
            <w:tcBorders/>
            <w:vAlign w:val="center"/>
          </w:tcPr>
          <w:p>
            <w:pPr>
              <w:pStyle w:val="TableContents"/>
              <w:bidi w:val="0"/>
              <w:spacing w:before="0" w:after="283"/>
              <w:jc w:val="left"/>
              <w:rPr>
                <w:sz w:val="4"/>
                <w:szCs w:val="4"/>
              </w:rPr>
            </w:pPr>
            <w:r>
              <w:rPr>
                <w:sz w:val="4"/>
                <w:szCs w:val="4"/>
              </w:rPr>
            </w:r>
          </w:p>
        </w:tc>
        <w:tc>
          <w:tcPr>
            <w:tcW w:w="1609"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r>
      <w:tr>
        <w:trPr/>
        <w:tc>
          <w:tcPr>
            <w:tcW w:w="3500"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Compensation Committee</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8" w:type="dxa"/>
            <w:tcBorders>
              <w:bottom w:val="single" w:sz="6" w:space="0" w:color="B99C16"/>
            </w:tcBorders>
            <w:tcMar>
              <w:bottom w:w="28" w:type="dxa"/>
            </w:tcMar>
            <w:vAlign w:val="center"/>
          </w:tcPr>
          <w:p>
            <w:pPr>
              <w:pStyle w:val="TableContents"/>
              <w:bidi w:val="0"/>
              <w:spacing w:before="0" w:after="283"/>
              <w:jc w:val="left"/>
              <w:rPr/>
            </w:pPr>
            <w:r>
              <w:rPr/>
              <w:t> </w:t>
            </w:r>
          </w:p>
        </w:tc>
        <w:tc>
          <w:tcPr>
            <w:tcW w:w="911"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9" w:type="dxa"/>
            <w:tcBorders>
              <w:bottom w:val="single" w:sz="6" w:space="0" w:color="B99C16"/>
            </w:tcBorders>
            <w:tcMar>
              <w:bottom w:w="28" w:type="dxa"/>
            </w:tcMar>
            <w:vAlign w:val="center"/>
          </w:tcPr>
          <w:p>
            <w:pPr>
              <w:pStyle w:val="TableContents"/>
              <w:bidi w:val="0"/>
              <w:spacing w:before="0" w:after="283"/>
              <w:jc w:val="left"/>
              <w:rPr/>
            </w:pPr>
            <w:r>
              <w:rPr/>
              <w:t> </w:t>
            </w:r>
          </w:p>
        </w:tc>
        <w:tc>
          <w:tcPr>
            <w:tcW w:w="133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74" w:type="dxa"/>
            <w:tcBorders>
              <w:bottom w:val="single" w:sz="6" w:space="0" w:color="B99C16"/>
            </w:tcBorders>
            <w:tcMar>
              <w:bottom w:w="80" w:type="dxa"/>
            </w:tcMar>
            <w:vAlign w:val="center"/>
          </w:tcPr>
          <w:p>
            <w:pPr>
              <w:pStyle w:val="TableContents"/>
              <w:bidi w:val="0"/>
              <w:spacing w:before="0" w:after="283"/>
              <w:jc w:val="left"/>
              <w:rPr/>
            </w:pPr>
            <w:r>
              <w:rPr/>
              <w:t> </w:t>
            </w:r>
          </w:p>
        </w:tc>
        <w:tc>
          <w:tcPr>
            <w:tcW w:w="996" w:type="dxa"/>
            <w:tcBorders>
              <w:bottom w:val="single" w:sz="6" w:space="0" w:color="B99C16"/>
            </w:tcBorders>
            <w:tcMar>
              <w:bottom w:w="80" w:type="dxa"/>
            </w:tcMar>
            <w:vAlign w:val="center"/>
          </w:tcPr>
          <w:p>
            <w:pPr>
              <w:pStyle w:val="TableContents"/>
              <w:bidi w:val="0"/>
              <w:spacing w:before="0" w:after="283"/>
              <w:jc w:val="right"/>
              <w:rPr/>
            </w:pPr>
            <w:r>
              <w:rPr/>
              <w:t>25,000</w:t>
            </w:r>
          </w:p>
        </w:tc>
        <w:tc>
          <w:tcPr>
            <w:tcW w:w="35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8" w:type="dxa"/>
            <w:tcBorders>
              <w:bottom w:val="single" w:sz="6" w:space="0" w:color="B99C16"/>
            </w:tcBorders>
            <w:tcMar>
              <w:bottom w:w="80" w:type="dxa"/>
            </w:tcMar>
            <w:vAlign w:val="center"/>
          </w:tcPr>
          <w:p>
            <w:pPr>
              <w:pStyle w:val="TableContents"/>
              <w:bidi w:val="0"/>
              <w:spacing w:before="0" w:after="283"/>
              <w:jc w:val="left"/>
              <w:rPr/>
            </w:pPr>
            <w:r>
              <w:rPr/>
              <w:t> </w:t>
            </w:r>
          </w:p>
        </w:tc>
        <w:tc>
          <w:tcPr>
            <w:tcW w:w="1452" w:type="dxa"/>
            <w:tcBorders>
              <w:bottom w:val="single" w:sz="6" w:space="0" w:color="B99C16"/>
            </w:tcBorders>
            <w:tcMar>
              <w:bottom w:w="80" w:type="dxa"/>
            </w:tcMar>
            <w:vAlign w:val="center"/>
          </w:tcPr>
          <w:p>
            <w:pPr>
              <w:pStyle w:val="TableContents"/>
              <w:bidi w:val="0"/>
              <w:spacing w:before="0" w:after="283"/>
              <w:jc w:val="right"/>
              <w:rPr/>
            </w:pPr>
            <w:r>
              <w:rPr/>
              <w:t>12,500</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3500" w:type="dxa"/>
            <w:tcBorders/>
            <w:shd w:fill="F4F0DC" w:val="clear"/>
            <w:vAlign w:val="center"/>
          </w:tcPr>
          <w:p>
            <w:pPr>
              <w:pStyle w:val="TableContents"/>
              <w:bidi w:val="0"/>
              <w:spacing w:before="0" w:after="283"/>
              <w:jc w:val="left"/>
              <w:rPr>
                <w:sz w:val="4"/>
                <w:szCs w:val="4"/>
              </w:rPr>
            </w:pPr>
            <w:r>
              <w:rPr>
                <w:sz w:val="4"/>
                <w:szCs w:val="4"/>
              </w:rPr>
            </w:r>
          </w:p>
        </w:tc>
        <w:tc>
          <w:tcPr>
            <w:tcW w:w="1159" w:type="dxa"/>
            <w:gridSpan w:val="4"/>
            <w:tcBorders/>
            <w:vAlign w:val="center"/>
          </w:tcPr>
          <w:p>
            <w:pPr>
              <w:pStyle w:val="TableContents"/>
              <w:bidi w:val="0"/>
              <w:spacing w:before="0" w:after="283"/>
              <w:jc w:val="left"/>
              <w:rPr>
                <w:sz w:val="4"/>
                <w:szCs w:val="4"/>
              </w:rPr>
            </w:pPr>
            <w:r>
              <w:rPr>
                <w:sz w:val="4"/>
                <w:szCs w:val="4"/>
              </w:rPr>
            </w:r>
          </w:p>
        </w:tc>
        <w:tc>
          <w:tcPr>
            <w:tcW w:w="1609"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r>
      <w:tr>
        <w:trPr/>
        <w:tc>
          <w:tcPr>
            <w:tcW w:w="3500"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Nominating and Governance Committee</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8" w:type="dxa"/>
            <w:tcBorders>
              <w:bottom w:val="single" w:sz="6" w:space="0" w:color="B99C16"/>
            </w:tcBorders>
            <w:tcMar>
              <w:bottom w:w="28" w:type="dxa"/>
            </w:tcMar>
            <w:vAlign w:val="center"/>
          </w:tcPr>
          <w:p>
            <w:pPr>
              <w:pStyle w:val="TableContents"/>
              <w:bidi w:val="0"/>
              <w:spacing w:before="0" w:after="283"/>
              <w:jc w:val="left"/>
              <w:rPr/>
            </w:pPr>
            <w:r>
              <w:rPr/>
              <w:t> </w:t>
            </w:r>
          </w:p>
        </w:tc>
        <w:tc>
          <w:tcPr>
            <w:tcW w:w="911"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9" w:type="dxa"/>
            <w:tcBorders>
              <w:bottom w:val="single" w:sz="6" w:space="0" w:color="B99C16"/>
            </w:tcBorders>
            <w:tcMar>
              <w:bottom w:w="28" w:type="dxa"/>
            </w:tcMar>
            <w:vAlign w:val="center"/>
          </w:tcPr>
          <w:p>
            <w:pPr>
              <w:pStyle w:val="TableContents"/>
              <w:bidi w:val="0"/>
              <w:spacing w:before="0" w:after="283"/>
              <w:jc w:val="left"/>
              <w:rPr/>
            </w:pPr>
            <w:r>
              <w:rPr/>
              <w:t> </w:t>
            </w:r>
          </w:p>
        </w:tc>
        <w:tc>
          <w:tcPr>
            <w:tcW w:w="133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74" w:type="dxa"/>
            <w:tcBorders>
              <w:bottom w:val="single" w:sz="6" w:space="0" w:color="B99C16"/>
            </w:tcBorders>
            <w:tcMar>
              <w:bottom w:w="80" w:type="dxa"/>
            </w:tcMar>
            <w:vAlign w:val="center"/>
          </w:tcPr>
          <w:p>
            <w:pPr>
              <w:pStyle w:val="TableContents"/>
              <w:bidi w:val="0"/>
              <w:spacing w:before="0" w:after="283"/>
              <w:jc w:val="left"/>
              <w:rPr/>
            </w:pPr>
            <w:r>
              <w:rPr/>
              <w:t> </w:t>
            </w:r>
          </w:p>
        </w:tc>
        <w:tc>
          <w:tcPr>
            <w:tcW w:w="996" w:type="dxa"/>
            <w:tcBorders>
              <w:bottom w:val="single" w:sz="6" w:space="0" w:color="B99C16"/>
            </w:tcBorders>
            <w:tcMar>
              <w:bottom w:w="80" w:type="dxa"/>
            </w:tcMar>
            <w:vAlign w:val="center"/>
          </w:tcPr>
          <w:p>
            <w:pPr>
              <w:pStyle w:val="TableContents"/>
              <w:bidi w:val="0"/>
              <w:spacing w:before="0" w:after="283"/>
              <w:jc w:val="right"/>
              <w:rPr/>
            </w:pPr>
            <w:r>
              <w:rPr/>
              <w:t>20,000</w:t>
            </w:r>
          </w:p>
        </w:tc>
        <w:tc>
          <w:tcPr>
            <w:tcW w:w="35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8" w:type="dxa"/>
            <w:tcBorders>
              <w:bottom w:val="single" w:sz="6" w:space="0" w:color="B99C16"/>
            </w:tcBorders>
            <w:tcMar>
              <w:bottom w:w="80" w:type="dxa"/>
            </w:tcMar>
            <w:vAlign w:val="center"/>
          </w:tcPr>
          <w:p>
            <w:pPr>
              <w:pStyle w:val="TableContents"/>
              <w:bidi w:val="0"/>
              <w:spacing w:before="0" w:after="283"/>
              <w:jc w:val="left"/>
              <w:rPr/>
            </w:pPr>
            <w:r>
              <w:rPr/>
              <w:t> </w:t>
            </w:r>
          </w:p>
        </w:tc>
        <w:tc>
          <w:tcPr>
            <w:tcW w:w="1452" w:type="dxa"/>
            <w:tcBorders>
              <w:bottom w:val="single" w:sz="6" w:space="0" w:color="B99C16"/>
            </w:tcBorders>
            <w:tcMar>
              <w:bottom w:w="80" w:type="dxa"/>
            </w:tcMar>
            <w:vAlign w:val="center"/>
          </w:tcPr>
          <w:p>
            <w:pPr>
              <w:pStyle w:val="TableContents"/>
              <w:bidi w:val="0"/>
              <w:spacing w:before="0" w:after="283"/>
              <w:jc w:val="right"/>
              <w:rPr/>
            </w:pPr>
            <w:r>
              <w:rPr/>
              <w:t>10,000</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3500" w:type="dxa"/>
            <w:tcBorders/>
            <w:shd w:fill="F4F0DC" w:val="clear"/>
            <w:vAlign w:val="center"/>
          </w:tcPr>
          <w:p>
            <w:pPr>
              <w:pStyle w:val="TableContents"/>
              <w:bidi w:val="0"/>
              <w:spacing w:before="0" w:after="283"/>
              <w:jc w:val="left"/>
              <w:rPr>
                <w:sz w:val="4"/>
                <w:szCs w:val="4"/>
              </w:rPr>
            </w:pPr>
            <w:r>
              <w:rPr>
                <w:sz w:val="4"/>
                <w:szCs w:val="4"/>
              </w:rPr>
            </w:r>
          </w:p>
        </w:tc>
        <w:tc>
          <w:tcPr>
            <w:tcW w:w="1159" w:type="dxa"/>
            <w:gridSpan w:val="4"/>
            <w:tcBorders/>
            <w:vAlign w:val="center"/>
          </w:tcPr>
          <w:p>
            <w:pPr>
              <w:pStyle w:val="TableContents"/>
              <w:bidi w:val="0"/>
              <w:spacing w:before="0" w:after="283"/>
              <w:jc w:val="left"/>
              <w:rPr>
                <w:sz w:val="4"/>
                <w:szCs w:val="4"/>
              </w:rPr>
            </w:pPr>
            <w:r>
              <w:rPr>
                <w:sz w:val="4"/>
                <w:szCs w:val="4"/>
              </w:rPr>
            </w:r>
          </w:p>
        </w:tc>
        <w:tc>
          <w:tcPr>
            <w:tcW w:w="1609"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r>
      <w:tr>
        <w:trPr/>
        <w:tc>
          <w:tcPr>
            <w:tcW w:w="3500"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Audit Committee</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8" w:type="dxa"/>
            <w:tcBorders>
              <w:bottom w:val="single" w:sz="6" w:space="0" w:color="B99C16"/>
            </w:tcBorders>
            <w:tcMar>
              <w:bottom w:w="28" w:type="dxa"/>
            </w:tcMar>
            <w:vAlign w:val="center"/>
          </w:tcPr>
          <w:p>
            <w:pPr>
              <w:pStyle w:val="TableContents"/>
              <w:bidi w:val="0"/>
              <w:spacing w:before="0" w:after="283"/>
              <w:jc w:val="left"/>
              <w:rPr/>
            </w:pPr>
            <w:r>
              <w:rPr/>
              <w:t> </w:t>
            </w:r>
          </w:p>
        </w:tc>
        <w:tc>
          <w:tcPr>
            <w:tcW w:w="911"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9" w:type="dxa"/>
            <w:tcBorders>
              <w:bottom w:val="single" w:sz="6" w:space="0" w:color="B99C16"/>
            </w:tcBorders>
            <w:tcMar>
              <w:bottom w:w="28" w:type="dxa"/>
            </w:tcMar>
            <w:vAlign w:val="center"/>
          </w:tcPr>
          <w:p>
            <w:pPr>
              <w:pStyle w:val="TableContents"/>
              <w:bidi w:val="0"/>
              <w:spacing w:before="0" w:after="283"/>
              <w:jc w:val="left"/>
              <w:rPr/>
            </w:pPr>
            <w:r>
              <w:rPr/>
              <w:t> </w:t>
            </w:r>
          </w:p>
        </w:tc>
        <w:tc>
          <w:tcPr>
            <w:tcW w:w="133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74" w:type="dxa"/>
            <w:tcBorders>
              <w:bottom w:val="single" w:sz="6" w:space="0" w:color="B99C16"/>
            </w:tcBorders>
            <w:tcMar>
              <w:bottom w:w="80" w:type="dxa"/>
            </w:tcMar>
            <w:vAlign w:val="center"/>
          </w:tcPr>
          <w:p>
            <w:pPr>
              <w:pStyle w:val="TableContents"/>
              <w:bidi w:val="0"/>
              <w:spacing w:before="0" w:after="283"/>
              <w:jc w:val="left"/>
              <w:rPr/>
            </w:pPr>
            <w:r>
              <w:rPr/>
              <w:t> </w:t>
            </w:r>
          </w:p>
        </w:tc>
        <w:tc>
          <w:tcPr>
            <w:tcW w:w="996" w:type="dxa"/>
            <w:tcBorders>
              <w:bottom w:val="single" w:sz="6" w:space="0" w:color="B99C16"/>
            </w:tcBorders>
            <w:tcMar>
              <w:bottom w:w="80" w:type="dxa"/>
            </w:tcMar>
            <w:vAlign w:val="center"/>
          </w:tcPr>
          <w:p>
            <w:pPr>
              <w:pStyle w:val="TableContents"/>
              <w:bidi w:val="0"/>
              <w:spacing w:before="0" w:after="283"/>
              <w:jc w:val="right"/>
              <w:rPr/>
            </w:pPr>
            <w:r>
              <w:rPr/>
              <w:t>35,000</w:t>
            </w:r>
          </w:p>
        </w:tc>
        <w:tc>
          <w:tcPr>
            <w:tcW w:w="35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8" w:type="dxa"/>
            <w:tcBorders>
              <w:bottom w:val="single" w:sz="6" w:space="0" w:color="B99C16"/>
            </w:tcBorders>
            <w:tcMar>
              <w:bottom w:w="80" w:type="dxa"/>
            </w:tcMar>
            <w:vAlign w:val="center"/>
          </w:tcPr>
          <w:p>
            <w:pPr>
              <w:pStyle w:val="TableContents"/>
              <w:bidi w:val="0"/>
              <w:spacing w:before="0" w:after="283"/>
              <w:jc w:val="left"/>
              <w:rPr/>
            </w:pPr>
            <w:r>
              <w:rPr/>
              <w:t> </w:t>
            </w:r>
          </w:p>
        </w:tc>
        <w:tc>
          <w:tcPr>
            <w:tcW w:w="1452" w:type="dxa"/>
            <w:tcBorders>
              <w:bottom w:val="single" w:sz="6" w:space="0" w:color="B99C16"/>
            </w:tcBorders>
            <w:tcMar>
              <w:bottom w:w="80" w:type="dxa"/>
            </w:tcMar>
            <w:vAlign w:val="center"/>
          </w:tcPr>
          <w:p>
            <w:pPr>
              <w:pStyle w:val="TableContents"/>
              <w:bidi w:val="0"/>
              <w:spacing w:before="0" w:after="283"/>
              <w:jc w:val="right"/>
              <w:rPr/>
            </w:pPr>
            <w:r>
              <w:rPr/>
              <w:t>15,000</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305"/>
        <w:gridCol w:w="5420"/>
      </w:tblGrid>
      <w:tr>
        <w:trPr/>
        <w:tc>
          <w:tcPr>
            <w:tcW w:w="305" w:type="dxa"/>
            <w:tcBorders/>
            <w:vAlign w:val="center"/>
          </w:tcPr>
          <w:p>
            <w:pPr>
              <w:pStyle w:val="TableContents"/>
              <w:bidi w:val="0"/>
              <w:spacing w:before="0" w:after="283"/>
              <w:jc w:val="left"/>
              <w:rPr/>
            </w:pPr>
            <w:r>
              <w:rPr/>
              <w:t>(1)</w:t>
            </w:r>
          </w:p>
        </w:tc>
        <w:tc>
          <w:tcPr>
            <w:tcW w:w="5420" w:type="dxa"/>
            <w:tcBorders/>
            <w:vAlign w:val="center"/>
          </w:tcPr>
          <w:p>
            <w:pPr>
              <w:pStyle w:val="TableContents"/>
              <w:bidi w:val="0"/>
              <w:spacing w:before="0" w:after="0"/>
              <w:jc w:val="left"/>
              <w:rPr>
                <w:rFonts w:ascii="arial" w:hAnsi="arial"/>
                <w:sz w:val="20"/>
              </w:rPr>
            </w:pPr>
            <w:r>
              <w:rPr>
                <w:rFonts w:ascii="arial" w:hAnsi="arial"/>
                <w:sz w:val="20"/>
              </w:rPr>
              <w:t xml:space="preserve">Retainer fee is paid in arrears, in equal quarterly installments.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left"/>
              <w:rPr>
                <w:rFonts w:ascii="arial" w:hAnsi="arial"/>
                <w:sz w:val="20"/>
              </w:rPr>
            </w:pPr>
            <w:r>
              <w:rPr>
                <w:rFonts w:ascii="arial" w:hAnsi="arial"/>
                <w:sz w:val="20"/>
              </w:rPr>
              <w:t xml:space="preserve">Each non-employee director received a grant of restricted stock units (“RSUs”), with an aggregate grant date fair value of $205,000. Each non-employee director may elect to receive all or a portion of such grant as restricted stock (“RSAs”), which are legally issued common stock at the time of grant, with certain restrictions placed on them. </w:t>
            </w:r>
          </w:p>
        </w:tc>
      </w:tr>
    </w:tbl>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305"/>
        <w:gridCol w:w="8225"/>
      </w:tblGrid>
      <w:tr>
        <w:trPr/>
        <w:tc>
          <w:tcPr>
            <w:tcW w:w="305" w:type="dxa"/>
            <w:tcBorders/>
            <w:vAlign w:val="center"/>
          </w:tcPr>
          <w:p>
            <w:pPr>
              <w:pStyle w:val="TableContents"/>
              <w:bidi w:val="0"/>
              <w:spacing w:before="0" w:after="283"/>
              <w:jc w:val="left"/>
              <w:rPr/>
            </w:pPr>
            <w:r>
              <w:rPr/>
              <w:t>(3)</w:t>
            </w:r>
          </w:p>
        </w:tc>
        <w:tc>
          <w:tcPr>
            <w:tcW w:w="8225" w:type="dxa"/>
            <w:tcBorders/>
            <w:vAlign w:val="center"/>
          </w:tcPr>
          <w:p>
            <w:pPr>
              <w:pStyle w:val="TableContents"/>
              <w:bidi w:val="0"/>
              <w:spacing w:before="0" w:after="0"/>
              <w:jc w:val="left"/>
              <w:rPr>
                <w:rFonts w:ascii="arial" w:hAnsi="arial"/>
                <w:sz w:val="20"/>
              </w:rPr>
            </w:pPr>
            <w:r>
              <w:rPr>
                <w:rFonts w:ascii="arial" w:hAnsi="arial"/>
                <w:sz w:val="20"/>
              </w:rPr>
              <w:t xml:space="preserve">Represents an additional fee for serving as non-employee Chairman of the Board of Directors. </w:t>
            </w:r>
          </w:p>
        </w:tc>
      </w:tr>
    </w:tbl>
    <w:p>
      <w:pPr>
        <w:pStyle w:val="TextBody"/>
        <w:bidi w:val="0"/>
        <w:spacing w:before="240" w:after="0"/>
        <w:jc w:val="left"/>
        <w:rPr>
          <w:rFonts w:ascii="arial" w:hAnsi="arial"/>
          <w:sz w:val="20"/>
        </w:rPr>
      </w:pPr>
      <w:r>
        <w:rPr>
          <w:rFonts w:ascii="arial" w:hAnsi="arial"/>
          <w:sz w:val="20"/>
        </w:rPr>
        <w:t xml:space="preserve">In accordance with the fees described above, in 2025, we provided the following compensation to our non-employee directors. Occasionally, a spouse or other guest may accompany a non-employee director on corporate aircraft when the aircraft is already scheduled for business purposes and can accommodate additional passengers. In those cases, there is no aggregate incremental cost to the Company and, as a result, no amount is reflected in the compensation table below. Mr. Carstanjen, our Chief Executive Officer (“CEO”), is not separately compensated for his service on our Board. Please see the 2025 Summary Compensation Table on page 42 for a summary of the compensation paid to our CEO with respect to 2025. </w:t>
      </w:r>
    </w:p>
    <w:p>
      <w:pPr>
        <w:pStyle w:val="TextBody"/>
        <w:bidi w:val="0"/>
        <w:spacing w:before="0" w:after="0"/>
        <w:jc w:val="left"/>
        <w:rPr/>
      </w:pPr>
      <w:r>
        <w:rPr/>
        <w:t> </w:t>
      </w:r>
    </w:p>
    <w:tbl>
      <w:tblPr>
        <w:tblW w:w="6954" w:type="dxa"/>
        <w:jc w:val="left"/>
        <w:tblInd w:w="0" w:type="dxa"/>
        <w:tblLayout w:type="fixed"/>
        <w:tblCellMar>
          <w:top w:w="0" w:type="dxa"/>
          <w:left w:w="0" w:type="dxa"/>
          <w:bottom w:w="0" w:type="dxa"/>
          <w:right w:w="0" w:type="dxa"/>
        </w:tblCellMar>
      </w:tblPr>
      <w:tblGrid>
        <w:gridCol w:w="2525"/>
        <w:gridCol w:w="120"/>
        <w:gridCol w:w="86"/>
        <w:gridCol w:w="1149"/>
        <w:gridCol w:w="350"/>
        <w:gridCol w:w="60"/>
        <w:gridCol w:w="99"/>
        <w:gridCol w:w="1330"/>
        <w:gridCol w:w="60"/>
        <w:gridCol w:w="120"/>
        <w:gridCol w:w="60"/>
        <w:gridCol w:w="920"/>
        <w:gridCol w:w="75"/>
      </w:tblGrid>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shd w:fill="004876" w:val="clear"/>
            <w:vAlign w:val="center"/>
          </w:tcPr>
          <w:p>
            <w:pPr>
              <w:pStyle w:val="TableContents"/>
              <w:bidi w:val="0"/>
              <w:spacing w:before="0" w:after="283"/>
              <w:jc w:val="left"/>
              <w:rPr>
                <w:sz w:val="4"/>
                <w:szCs w:val="4"/>
              </w:rPr>
            </w:pPr>
            <w:r>
              <w:rPr>
                <w:sz w:val="4"/>
                <w:szCs w:val="4"/>
              </w:rPr>
            </w:r>
          </w:p>
        </w:tc>
        <w:tc>
          <w:tcPr>
            <w:tcW w:w="1705" w:type="dxa"/>
            <w:gridSpan w:val="4"/>
            <w:tcBorders/>
            <w:shd w:fill="004876" w:val="clear"/>
            <w:vAlign w:val="center"/>
          </w:tcPr>
          <w:p>
            <w:pPr>
              <w:pStyle w:val="TableContents"/>
              <w:bidi w:val="0"/>
              <w:spacing w:before="0" w:after="283"/>
              <w:jc w:val="left"/>
              <w:rPr>
                <w:sz w:val="4"/>
                <w:szCs w:val="4"/>
              </w:rPr>
            </w:pPr>
            <w:r>
              <w:rPr>
                <w:sz w:val="4"/>
                <w:szCs w:val="4"/>
              </w:rPr>
            </w:r>
          </w:p>
        </w:tc>
        <w:tc>
          <w:tcPr>
            <w:tcW w:w="1549" w:type="dxa"/>
            <w:gridSpan w:val="4"/>
            <w:tcBorders/>
            <w:shd w:fill="004876" w:val="clear"/>
            <w:vAlign w:val="center"/>
          </w:tcPr>
          <w:p>
            <w:pPr>
              <w:pStyle w:val="TableContents"/>
              <w:bidi w:val="0"/>
              <w:spacing w:before="0" w:after="283"/>
              <w:jc w:val="left"/>
              <w:rPr>
                <w:sz w:val="4"/>
                <w:szCs w:val="4"/>
              </w:rPr>
            </w:pPr>
            <w:r>
              <w:rPr>
                <w:sz w:val="4"/>
                <w:szCs w:val="4"/>
              </w:rPr>
            </w:r>
          </w:p>
        </w:tc>
        <w:tc>
          <w:tcPr>
            <w:tcW w:w="1175" w:type="dxa"/>
            <w:gridSpan w:val="4"/>
            <w:tcBorders/>
            <w:shd w:fill="004876" w:val="clear"/>
            <w:vAlign w:val="center"/>
          </w:tcPr>
          <w:p>
            <w:pPr>
              <w:pStyle w:val="TableContents"/>
              <w:bidi w:val="0"/>
              <w:spacing w:before="0" w:after="283"/>
              <w:jc w:val="left"/>
              <w:rPr>
                <w:sz w:val="4"/>
                <w:szCs w:val="4"/>
              </w:rPr>
            </w:pPr>
            <w:r>
              <w:rPr>
                <w:sz w:val="4"/>
                <w:szCs w:val="4"/>
              </w:rPr>
            </w:r>
          </w:p>
        </w:tc>
      </w:tr>
      <w:tr>
        <w:trPr/>
        <w:tc>
          <w:tcPr>
            <w:tcW w:w="2525" w:type="dxa"/>
            <w:tcBorders/>
            <w:shd w:fill="004876" w:val="clear"/>
            <w:vAlign w:val="center"/>
          </w:tcPr>
          <w:p>
            <w:pPr>
              <w:pStyle w:val="TableContents"/>
              <w:bidi w:val="0"/>
              <w:spacing w:before="0" w:after="283"/>
              <w:jc w:val="left"/>
              <w:rPr>
                <w:color w:val="FFFFFF"/>
              </w:rPr>
            </w:pPr>
            <w:r>
              <w:rPr>
                <w:color w:val="FFFFFF"/>
              </w:rPr>
              <w:t> </w:t>
            </w:r>
            <w:r>
              <w:rPr>
                <w:b/>
                <w:color w:val="FFFFFF"/>
              </w:rPr>
              <w:t>Name</w:t>
            </w:r>
          </w:p>
        </w:tc>
        <w:tc>
          <w:tcPr>
            <w:tcW w:w="120" w:type="dxa"/>
            <w:tcBorders/>
            <w:shd w:fill="004876" w:val="clear"/>
            <w:vAlign w:val="center"/>
          </w:tcPr>
          <w:p>
            <w:pPr>
              <w:pStyle w:val="TableContents"/>
              <w:bidi w:val="0"/>
              <w:spacing w:before="0" w:after="283"/>
              <w:jc w:val="left"/>
              <w:rPr/>
            </w:pPr>
            <w:r>
              <w:rPr/>
              <w:t>  </w:t>
            </w:r>
          </w:p>
        </w:tc>
        <w:tc>
          <w:tcPr>
            <w:tcW w:w="1235" w:type="dxa"/>
            <w:gridSpan w:val="2"/>
            <w:tcBorders/>
            <w:shd w:fill="00487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Fees earned or</w:t>
            </w:r>
          </w:p>
          <w:p>
            <w:pPr>
              <w:pStyle w:val="TableContents"/>
              <w:bidi w:val="0"/>
              <w:spacing w:before="0" w:after="20"/>
              <w:jc w:val="center"/>
              <w:rPr>
                <w:rFonts w:ascii="arial" w:hAnsi="arial"/>
                <w:b/>
                <w:color w:val="FFFFFF"/>
                <w:sz w:val="16"/>
              </w:rPr>
            </w:pPr>
            <w:r>
              <w:rPr>
                <w:rFonts w:ascii="arial" w:hAnsi="arial"/>
                <w:b/>
                <w:color w:val="FFFFFF"/>
                <w:sz w:val="16"/>
              </w:rPr>
              <w:t>paid in cash ($)</w:t>
            </w:r>
          </w:p>
        </w:tc>
        <w:tc>
          <w:tcPr>
            <w:tcW w:w="350" w:type="dxa"/>
            <w:tcBorders/>
            <w:shd w:fill="004876" w:val="clear"/>
            <w:vAlign w:val="center"/>
          </w:tcPr>
          <w:p>
            <w:pPr>
              <w:pStyle w:val="TableContents"/>
              <w:bidi w:val="0"/>
              <w:spacing w:before="0" w:after="283"/>
              <w:jc w:val="left"/>
              <w:rPr/>
            </w:pPr>
            <w:r>
              <w:rPr/>
              <w:t> </w:t>
            </w:r>
          </w:p>
        </w:tc>
        <w:tc>
          <w:tcPr>
            <w:tcW w:w="60" w:type="dxa"/>
            <w:tcBorders/>
            <w:shd w:fill="004876" w:val="clear"/>
            <w:vAlign w:val="center"/>
          </w:tcPr>
          <w:p>
            <w:pPr>
              <w:pStyle w:val="TableContents"/>
              <w:bidi w:val="0"/>
              <w:spacing w:before="0" w:after="283"/>
              <w:jc w:val="left"/>
              <w:rPr/>
            </w:pPr>
            <w:r>
              <w:rPr/>
              <w:t> </w:t>
            </w:r>
          </w:p>
        </w:tc>
        <w:tc>
          <w:tcPr>
            <w:tcW w:w="1429" w:type="dxa"/>
            <w:gridSpan w:val="2"/>
            <w:tcBorders/>
            <w:shd w:fill="004876" w:val="clear"/>
            <w:vAlign w:val="center"/>
          </w:tcPr>
          <w:p>
            <w:pPr>
              <w:pStyle w:val="TableContents"/>
              <w:bidi w:val="0"/>
              <w:spacing w:before="0" w:after="283"/>
              <w:jc w:val="center"/>
              <w:rPr>
                <w:b/>
                <w:color w:val="FFFFFF"/>
              </w:rPr>
            </w:pPr>
            <w:r>
              <w:rPr>
                <w:b/>
                <w:color w:val="FFFFFF"/>
              </w:rPr>
              <w:t>Stock</w:t>
              <w:br/>
              <w:t>Awards ($)(3)</w:t>
            </w:r>
          </w:p>
        </w:tc>
        <w:tc>
          <w:tcPr>
            <w:tcW w:w="60" w:type="dxa"/>
            <w:tcBorders/>
            <w:shd w:fill="004876" w:val="clear"/>
            <w:vAlign w:val="center"/>
          </w:tcPr>
          <w:p>
            <w:pPr>
              <w:pStyle w:val="TableContents"/>
              <w:bidi w:val="0"/>
              <w:spacing w:before="0" w:after="283"/>
              <w:jc w:val="left"/>
              <w:rPr/>
            </w:pPr>
            <w:r>
              <w:rPr/>
              <w:t> </w:t>
            </w:r>
          </w:p>
        </w:tc>
        <w:tc>
          <w:tcPr>
            <w:tcW w:w="120" w:type="dxa"/>
            <w:tcBorders/>
            <w:shd w:fill="004876" w:val="clear"/>
            <w:vAlign w:val="center"/>
          </w:tcPr>
          <w:p>
            <w:pPr>
              <w:pStyle w:val="TableContents"/>
              <w:bidi w:val="0"/>
              <w:spacing w:before="0" w:after="283"/>
              <w:jc w:val="left"/>
              <w:rPr/>
            </w:pPr>
            <w:r>
              <w:rPr/>
              <w:t>  </w:t>
            </w:r>
          </w:p>
        </w:tc>
        <w:tc>
          <w:tcPr>
            <w:tcW w:w="980" w:type="dxa"/>
            <w:gridSpan w:val="2"/>
            <w:tcBorders/>
            <w:shd w:fill="004876" w:val="clear"/>
            <w:vAlign w:val="center"/>
          </w:tcPr>
          <w:p>
            <w:pPr>
              <w:pStyle w:val="TableContents"/>
              <w:bidi w:val="0"/>
              <w:spacing w:before="0" w:after="283"/>
              <w:jc w:val="center"/>
              <w:rPr>
                <w:b/>
                <w:color w:val="FFFFFF"/>
              </w:rPr>
            </w:pPr>
            <w:r>
              <w:rPr>
                <w:b/>
                <w:color w:val="FFFFFF"/>
              </w:rPr>
              <w:t>Total ($)</w:t>
            </w:r>
          </w:p>
        </w:tc>
        <w:tc>
          <w:tcPr>
            <w:tcW w:w="75" w:type="dxa"/>
            <w:tcBorders/>
            <w:shd w:fill="004876" w:val="clear"/>
            <w:vAlign w:val="center"/>
          </w:tcPr>
          <w:p>
            <w:pPr>
              <w:pStyle w:val="TableContents"/>
              <w:bidi w:val="0"/>
              <w:spacing w:before="0" w:after="283"/>
              <w:jc w:val="left"/>
              <w:rPr/>
            </w:pPr>
            <w:r>
              <w:rPr/>
              <w:t> </w:t>
            </w:r>
          </w:p>
        </w:tc>
      </w:tr>
      <w:tr>
        <w:trPr/>
        <w:tc>
          <w:tcPr>
            <w:tcW w:w="2525" w:type="dxa"/>
            <w:tcBorders/>
            <w:shd w:fill="F4F0DC" w:val="clear"/>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549"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Ulysses L. Bridgeman, Jr.(1)</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80" w:type="dxa"/>
            </w:tcMar>
            <w:vAlign w:val="center"/>
          </w:tcPr>
          <w:p>
            <w:pPr>
              <w:pStyle w:val="TableContents"/>
              <w:bidi w:val="0"/>
              <w:spacing w:before="0" w:after="283"/>
              <w:jc w:val="left"/>
              <w:rPr/>
            </w:pPr>
            <w:r>
              <w:rPr/>
              <w:t> </w:t>
            </w:r>
          </w:p>
        </w:tc>
        <w:tc>
          <w:tcPr>
            <w:tcW w:w="1149" w:type="dxa"/>
            <w:tcBorders>
              <w:bottom w:val="single" w:sz="6" w:space="0" w:color="B99C16"/>
            </w:tcBorders>
            <w:tcMar>
              <w:bottom w:w="80" w:type="dxa"/>
            </w:tcMar>
            <w:vAlign w:val="center"/>
          </w:tcPr>
          <w:p>
            <w:pPr>
              <w:pStyle w:val="TableContents"/>
              <w:bidi w:val="0"/>
              <w:spacing w:before="0" w:after="283"/>
              <w:jc w:val="right"/>
              <w:rPr/>
            </w:pPr>
            <w:r>
              <w:rPr/>
              <w:t>28,750</w:t>
            </w:r>
          </w:p>
        </w:tc>
        <w:tc>
          <w:tcPr>
            <w:tcW w:w="35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9" w:type="dxa"/>
            <w:tcBorders>
              <w:bottom w:val="single" w:sz="6" w:space="0" w:color="B99C16"/>
            </w:tcBorders>
            <w:tcMar>
              <w:bottom w:w="80" w:type="dxa"/>
            </w:tcMar>
            <w:vAlign w:val="center"/>
          </w:tcPr>
          <w:p>
            <w:pPr>
              <w:pStyle w:val="TableContents"/>
              <w:bidi w:val="0"/>
              <w:spacing w:before="0" w:after="283"/>
              <w:jc w:val="left"/>
              <w:rPr/>
            </w:pPr>
            <w:r>
              <w:rPr/>
              <w:t> </w:t>
            </w:r>
          </w:p>
        </w:tc>
        <w:tc>
          <w:tcPr>
            <w:tcW w:w="1330" w:type="dxa"/>
            <w:tcBorders>
              <w:bottom w:val="single" w:sz="6" w:space="0" w:color="B99C16"/>
            </w:tcBorders>
            <w:tcMar>
              <w:bottom w:w="80" w:type="dxa"/>
            </w:tcMar>
            <w:vAlign w:val="center"/>
          </w:tcPr>
          <w:p>
            <w:pPr>
              <w:pStyle w:val="TableContents"/>
              <w:bidi w:val="0"/>
              <w:spacing w:before="0" w:after="283"/>
              <w:jc w:val="right"/>
              <w:rPr/>
            </w:pPr>
            <w:r>
              <w:rPr/>
              <w:t>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20" w:type="dxa"/>
            <w:tcBorders>
              <w:bottom w:val="single" w:sz="6" w:space="0" w:color="B99C16"/>
            </w:tcBorders>
            <w:tcMar>
              <w:bottom w:w="80" w:type="dxa"/>
            </w:tcMar>
            <w:vAlign w:val="center"/>
          </w:tcPr>
          <w:p>
            <w:pPr>
              <w:pStyle w:val="TableContents"/>
              <w:bidi w:val="0"/>
              <w:spacing w:before="0" w:after="283"/>
              <w:jc w:val="right"/>
              <w:rPr/>
            </w:pPr>
            <w:r>
              <w:rPr/>
              <w:t>28,750 </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2525" w:type="dxa"/>
            <w:tcBorders/>
            <w:shd w:fill="F4F0DC" w:val="clear"/>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549"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Andréa Carter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80" w:type="dxa"/>
            </w:tcMar>
            <w:vAlign w:val="center"/>
          </w:tcPr>
          <w:p>
            <w:pPr>
              <w:pStyle w:val="TableContents"/>
              <w:bidi w:val="0"/>
              <w:spacing w:before="0" w:after="283"/>
              <w:jc w:val="left"/>
              <w:rPr/>
            </w:pPr>
            <w:r>
              <w:rPr/>
              <w:t> </w:t>
            </w:r>
          </w:p>
        </w:tc>
        <w:tc>
          <w:tcPr>
            <w:tcW w:w="1149" w:type="dxa"/>
            <w:tcBorders>
              <w:bottom w:val="single" w:sz="6" w:space="0" w:color="B99C16"/>
            </w:tcBorders>
            <w:tcMar>
              <w:bottom w:w="80" w:type="dxa"/>
            </w:tcMar>
            <w:vAlign w:val="center"/>
          </w:tcPr>
          <w:p>
            <w:pPr>
              <w:pStyle w:val="TableContents"/>
              <w:bidi w:val="0"/>
              <w:spacing w:before="0" w:after="283"/>
              <w:jc w:val="right"/>
              <w:rPr/>
            </w:pPr>
            <w:r>
              <w:rPr/>
              <w:t>127,500</w:t>
            </w:r>
          </w:p>
        </w:tc>
        <w:tc>
          <w:tcPr>
            <w:tcW w:w="350" w:type="dxa"/>
            <w:tcBorders>
              <w:bottom w:val="single" w:sz="6" w:space="0" w:color="B99C16"/>
            </w:tcBorders>
            <w:tcMar>
              <w:bottom w:w="80" w:type="dxa"/>
            </w:tcMar>
            <w:vAlign w:val="center"/>
          </w:tcPr>
          <w:p>
            <w:pPr>
              <w:pStyle w:val="TableContents"/>
              <w:bidi w:val="0"/>
              <w:spacing w:before="0" w:after="283"/>
              <w:jc w:val="left"/>
              <w:rPr/>
            </w:pPr>
            <w:r>
              <w:rPr/>
              <w:t>(2)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9" w:type="dxa"/>
            <w:tcBorders>
              <w:bottom w:val="single" w:sz="6" w:space="0" w:color="B99C16"/>
            </w:tcBorders>
            <w:tcMar>
              <w:bottom w:w="80" w:type="dxa"/>
            </w:tcMar>
            <w:vAlign w:val="center"/>
          </w:tcPr>
          <w:p>
            <w:pPr>
              <w:pStyle w:val="TableContents"/>
              <w:bidi w:val="0"/>
              <w:spacing w:before="0" w:after="283"/>
              <w:jc w:val="left"/>
              <w:rPr/>
            </w:pPr>
            <w:r>
              <w:rPr/>
              <w:t> </w:t>
            </w:r>
          </w:p>
        </w:tc>
        <w:tc>
          <w:tcPr>
            <w:tcW w:w="1330" w:type="dxa"/>
            <w:tcBorders>
              <w:bottom w:val="single" w:sz="6" w:space="0" w:color="B99C16"/>
            </w:tcBorders>
            <w:tcMar>
              <w:bottom w:w="80" w:type="dxa"/>
            </w:tcMar>
            <w:vAlign w:val="center"/>
          </w:tcPr>
          <w:p>
            <w:pPr>
              <w:pStyle w:val="TableContents"/>
              <w:bidi w:val="0"/>
              <w:spacing w:before="0" w:after="283"/>
              <w:jc w:val="right"/>
              <w:rPr/>
            </w:pPr>
            <w:r>
              <w:rPr/>
              <w:t>205,000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20" w:type="dxa"/>
            <w:tcBorders>
              <w:bottom w:val="single" w:sz="6" w:space="0" w:color="B99C16"/>
            </w:tcBorders>
            <w:tcMar>
              <w:bottom w:w="80" w:type="dxa"/>
            </w:tcMar>
            <w:vAlign w:val="center"/>
          </w:tcPr>
          <w:p>
            <w:pPr>
              <w:pStyle w:val="TableContents"/>
              <w:bidi w:val="0"/>
              <w:spacing w:before="0" w:after="283"/>
              <w:jc w:val="right"/>
              <w:rPr/>
            </w:pPr>
            <w:r>
              <w:rPr/>
              <w:t>332,500 </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2525" w:type="dxa"/>
            <w:tcBorders/>
            <w:shd w:fill="F4F0DC" w:val="clear"/>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549"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Douglas C. Grissom</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80" w:type="dxa"/>
            </w:tcMar>
            <w:vAlign w:val="center"/>
          </w:tcPr>
          <w:p>
            <w:pPr>
              <w:pStyle w:val="TableContents"/>
              <w:bidi w:val="0"/>
              <w:spacing w:before="0" w:after="283"/>
              <w:jc w:val="left"/>
              <w:rPr/>
            </w:pPr>
            <w:r>
              <w:rPr/>
              <w:t> </w:t>
            </w:r>
          </w:p>
        </w:tc>
        <w:tc>
          <w:tcPr>
            <w:tcW w:w="1149" w:type="dxa"/>
            <w:tcBorders>
              <w:bottom w:val="single" w:sz="6" w:space="0" w:color="B99C16"/>
            </w:tcBorders>
            <w:tcMar>
              <w:bottom w:w="80" w:type="dxa"/>
            </w:tcMar>
            <w:vAlign w:val="center"/>
          </w:tcPr>
          <w:p>
            <w:pPr>
              <w:pStyle w:val="TableContents"/>
              <w:bidi w:val="0"/>
              <w:spacing w:before="0" w:after="283"/>
              <w:jc w:val="right"/>
              <w:rPr/>
            </w:pPr>
            <w:r>
              <w:rPr/>
              <w:t>137,500</w:t>
            </w:r>
          </w:p>
        </w:tc>
        <w:tc>
          <w:tcPr>
            <w:tcW w:w="350" w:type="dxa"/>
            <w:tcBorders>
              <w:bottom w:val="single" w:sz="6" w:space="0" w:color="B99C16"/>
            </w:tcBorders>
            <w:tcMar>
              <w:bottom w:w="80" w:type="dxa"/>
            </w:tcMar>
            <w:vAlign w:val="center"/>
          </w:tcPr>
          <w:p>
            <w:pPr>
              <w:pStyle w:val="TableContents"/>
              <w:bidi w:val="0"/>
              <w:spacing w:before="0" w:after="283"/>
              <w:jc w:val="left"/>
              <w:rPr/>
            </w:pPr>
            <w:r>
              <w:rPr/>
              <w:t>(2)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9" w:type="dxa"/>
            <w:tcBorders>
              <w:bottom w:val="single" w:sz="6" w:space="0" w:color="B99C16"/>
            </w:tcBorders>
            <w:tcMar>
              <w:bottom w:w="80" w:type="dxa"/>
            </w:tcMar>
            <w:vAlign w:val="center"/>
          </w:tcPr>
          <w:p>
            <w:pPr>
              <w:pStyle w:val="TableContents"/>
              <w:bidi w:val="0"/>
              <w:spacing w:before="0" w:after="283"/>
              <w:jc w:val="left"/>
              <w:rPr/>
            </w:pPr>
            <w:r>
              <w:rPr/>
              <w:t> </w:t>
            </w:r>
          </w:p>
        </w:tc>
        <w:tc>
          <w:tcPr>
            <w:tcW w:w="1330" w:type="dxa"/>
            <w:tcBorders>
              <w:bottom w:val="single" w:sz="6" w:space="0" w:color="B99C16"/>
            </w:tcBorders>
            <w:tcMar>
              <w:bottom w:w="80" w:type="dxa"/>
            </w:tcMar>
            <w:vAlign w:val="center"/>
          </w:tcPr>
          <w:p>
            <w:pPr>
              <w:pStyle w:val="TableContents"/>
              <w:bidi w:val="0"/>
              <w:spacing w:before="0" w:after="283"/>
              <w:jc w:val="right"/>
              <w:rPr/>
            </w:pPr>
            <w:r>
              <w:rPr/>
              <w:t>205,000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20" w:type="dxa"/>
            <w:tcBorders>
              <w:bottom w:val="single" w:sz="6" w:space="0" w:color="B99C16"/>
            </w:tcBorders>
            <w:tcMar>
              <w:bottom w:w="80" w:type="dxa"/>
            </w:tcMar>
            <w:vAlign w:val="center"/>
          </w:tcPr>
          <w:p>
            <w:pPr>
              <w:pStyle w:val="TableContents"/>
              <w:bidi w:val="0"/>
              <w:spacing w:before="0" w:after="283"/>
              <w:jc w:val="right"/>
              <w:rPr/>
            </w:pPr>
            <w:r>
              <w:rPr/>
              <w:t>342,500 </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2525" w:type="dxa"/>
            <w:tcBorders/>
            <w:shd w:fill="F4F0DC" w:val="clear"/>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549"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Daniel P. Harrington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80" w:type="dxa"/>
            </w:tcMar>
            <w:vAlign w:val="center"/>
          </w:tcPr>
          <w:p>
            <w:pPr>
              <w:pStyle w:val="TableContents"/>
              <w:bidi w:val="0"/>
              <w:spacing w:before="0" w:after="283"/>
              <w:jc w:val="left"/>
              <w:rPr/>
            </w:pPr>
            <w:r>
              <w:rPr/>
              <w:t> </w:t>
            </w:r>
          </w:p>
        </w:tc>
        <w:tc>
          <w:tcPr>
            <w:tcW w:w="1149" w:type="dxa"/>
            <w:tcBorders>
              <w:bottom w:val="single" w:sz="6" w:space="0" w:color="B99C16"/>
            </w:tcBorders>
            <w:tcMar>
              <w:bottom w:w="80" w:type="dxa"/>
            </w:tcMar>
            <w:vAlign w:val="center"/>
          </w:tcPr>
          <w:p>
            <w:pPr>
              <w:pStyle w:val="TableContents"/>
              <w:bidi w:val="0"/>
              <w:spacing w:before="0" w:after="283"/>
              <w:jc w:val="right"/>
              <w:rPr/>
            </w:pPr>
            <w:r>
              <w:rPr/>
              <w:t>145,000</w:t>
            </w:r>
          </w:p>
        </w:tc>
        <w:tc>
          <w:tcPr>
            <w:tcW w:w="350" w:type="dxa"/>
            <w:tcBorders>
              <w:bottom w:val="single" w:sz="6" w:space="0" w:color="B99C16"/>
            </w:tcBorders>
            <w:tcMar>
              <w:bottom w:w="80" w:type="dxa"/>
            </w:tcMar>
            <w:vAlign w:val="center"/>
          </w:tcPr>
          <w:p>
            <w:pPr>
              <w:pStyle w:val="TableContents"/>
              <w:bidi w:val="0"/>
              <w:spacing w:before="0" w:after="283"/>
              <w:jc w:val="left"/>
              <w:rPr/>
            </w:pPr>
            <w:r>
              <w:rPr/>
              <w:t>(2)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9" w:type="dxa"/>
            <w:tcBorders>
              <w:bottom w:val="single" w:sz="6" w:space="0" w:color="B99C16"/>
            </w:tcBorders>
            <w:tcMar>
              <w:bottom w:w="80" w:type="dxa"/>
            </w:tcMar>
            <w:vAlign w:val="center"/>
          </w:tcPr>
          <w:p>
            <w:pPr>
              <w:pStyle w:val="TableContents"/>
              <w:bidi w:val="0"/>
              <w:spacing w:before="0" w:after="283"/>
              <w:jc w:val="left"/>
              <w:rPr/>
            </w:pPr>
            <w:r>
              <w:rPr/>
              <w:t> </w:t>
            </w:r>
          </w:p>
        </w:tc>
        <w:tc>
          <w:tcPr>
            <w:tcW w:w="1330" w:type="dxa"/>
            <w:tcBorders>
              <w:bottom w:val="single" w:sz="6" w:space="0" w:color="B99C16"/>
            </w:tcBorders>
            <w:tcMar>
              <w:bottom w:w="80" w:type="dxa"/>
            </w:tcMar>
            <w:vAlign w:val="center"/>
          </w:tcPr>
          <w:p>
            <w:pPr>
              <w:pStyle w:val="TableContents"/>
              <w:bidi w:val="0"/>
              <w:spacing w:before="0" w:after="283"/>
              <w:jc w:val="right"/>
              <w:rPr/>
            </w:pPr>
            <w:r>
              <w:rPr/>
              <w:t>205,000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20" w:type="dxa"/>
            <w:tcBorders>
              <w:bottom w:val="single" w:sz="6" w:space="0" w:color="B99C16"/>
            </w:tcBorders>
            <w:tcMar>
              <w:bottom w:w="80" w:type="dxa"/>
            </w:tcMar>
            <w:vAlign w:val="center"/>
          </w:tcPr>
          <w:p>
            <w:pPr>
              <w:pStyle w:val="TableContents"/>
              <w:bidi w:val="0"/>
              <w:spacing w:before="0" w:after="283"/>
              <w:jc w:val="right"/>
              <w:rPr/>
            </w:pPr>
            <w:r>
              <w:rPr/>
              <w:t>350,000 </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2525" w:type="dxa"/>
            <w:tcBorders/>
            <w:shd w:fill="F4F0DC" w:val="clear"/>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549"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Karole F. Lloyd</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80" w:type="dxa"/>
            </w:tcMar>
            <w:vAlign w:val="center"/>
          </w:tcPr>
          <w:p>
            <w:pPr>
              <w:pStyle w:val="TableContents"/>
              <w:bidi w:val="0"/>
              <w:spacing w:before="0" w:after="283"/>
              <w:jc w:val="left"/>
              <w:rPr/>
            </w:pPr>
            <w:r>
              <w:rPr/>
              <w:t> </w:t>
            </w:r>
          </w:p>
        </w:tc>
        <w:tc>
          <w:tcPr>
            <w:tcW w:w="1149" w:type="dxa"/>
            <w:tcBorders>
              <w:bottom w:val="single" w:sz="6" w:space="0" w:color="B99C16"/>
            </w:tcBorders>
            <w:tcMar>
              <w:bottom w:w="80" w:type="dxa"/>
            </w:tcMar>
            <w:vAlign w:val="center"/>
          </w:tcPr>
          <w:p>
            <w:pPr>
              <w:pStyle w:val="TableContents"/>
              <w:bidi w:val="0"/>
              <w:spacing w:before="0" w:after="283"/>
              <w:jc w:val="right"/>
              <w:rPr/>
            </w:pPr>
            <w:r>
              <w:rPr/>
              <w:t>150,000</w:t>
            </w:r>
          </w:p>
        </w:tc>
        <w:tc>
          <w:tcPr>
            <w:tcW w:w="35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9" w:type="dxa"/>
            <w:tcBorders>
              <w:bottom w:val="single" w:sz="6" w:space="0" w:color="B99C16"/>
            </w:tcBorders>
            <w:tcMar>
              <w:bottom w:w="80" w:type="dxa"/>
            </w:tcMar>
            <w:vAlign w:val="center"/>
          </w:tcPr>
          <w:p>
            <w:pPr>
              <w:pStyle w:val="TableContents"/>
              <w:bidi w:val="0"/>
              <w:spacing w:before="0" w:after="283"/>
              <w:jc w:val="left"/>
              <w:rPr/>
            </w:pPr>
            <w:r>
              <w:rPr/>
              <w:t> </w:t>
            </w:r>
          </w:p>
        </w:tc>
        <w:tc>
          <w:tcPr>
            <w:tcW w:w="1330" w:type="dxa"/>
            <w:tcBorders>
              <w:bottom w:val="single" w:sz="6" w:space="0" w:color="B99C16"/>
            </w:tcBorders>
            <w:tcMar>
              <w:bottom w:w="80" w:type="dxa"/>
            </w:tcMar>
            <w:vAlign w:val="center"/>
          </w:tcPr>
          <w:p>
            <w:pPr>
              <w:pStyle w:val="TableContents"/>
              <w:bidi w:val="0"/>
              <w:spacing w:before="0" w:after="283"/>
              <w:jc w:val="right"/>
              <w:rPr/>
            </w:pPr>
            <w:r>
              <w:rPr/>
              <w:t>205,000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20" w:type="dxa"/>
            <w:tcBorders>
              <w:bottom w:val="single" w:sz="6" w:space="0" w:color="B99C16"/>
            </w:tcBorders>
            <w:tcMar>
              <w:bottom w:w="80" w:type="dxa"/>
            </w:tcMar>
            <w:vAlign w:val="center"/>
          </w:tcPr>
          <w:p>
            <w:pPr>
              <w:pStyle w:val="TableContents"/>
              <w:bidi w:val="0"/>
              <w:spacing w:before="0" w:after="283"/>
              <w:jc w:val="right"/>
              <w:rPr/>
            </w:pPr>
            <w:r>
              <w:rPr/>
              <w:t>355,000 </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2525" w:type="dxa"/>
            <w:tcBorders/>
            <w:shd w:fill="F4F0DC" w:val="clear"/>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549"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R. Alex Rankin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80" w:type="dxa"/>
            </w:tcMar>
            <w:vAlign w:val="center"/>
          </w:tcPr>
          <w:p>
            <w:pPr>
              <w:pStyle w:val="TableContents"/>
              <w:bidi w:val="0"/>
              <w:spacing w:before="0" w:after="283"/>
              <w:jc w:val="left"/>
              <w:rPr/>
            </w:pPr>
            <w:r>
              <w:rPr/>
              <w:t> </w:t>
            </w:r>
          </w:p>
        </w:tc>
        <w:tc>
          <w:tcPr>
            <w:tcW w:w="1149" w:type="dxa"/>
            <w:tcBorders>
              <w:bottom w:val="single" w:sz="6" w:space="0" w:color="B99C16"/>
            </w:tcBorders>
            <w:tcMar>
              <w:bottom w:w="80" w:type="dxa"/>
            </w:tcMar>
            <w:vAlign w:val="center"/>
          </w:tcPr>
          <w:p>
            <w:pPr>
              <w:pStyle w:val="TableContents"/>
              <w:bidi w:val="0"/>
              <w:spacing w:before="0" w:after="283"/>
              <w:jc w:val="right"/>
              <w:rPr/>
            </w:pPr>
            <w:r>
              <w:rPr/>
              <w:t>260,000</w:t>
            </w:r>
          </w:p>
        </w:tc>
        <w:tc>
          <w:tcPr>
            <w:tcW w:w="35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9" w:type="dxa"/>
            <w:tcBorders>
              <w:bottom w:val="single" w:sz="6" w:space="0" w:color="B99C16"/>
            </w:tcBorders>
            <w:tcMar>
              <w:bottom w:w="80" w:type="dxa"/>
            </w:tcMar>
            <w:vAlign w:val="center"/>
          </w:tcPr>
          <w:p>
            <w:pPr>
              <w:pStyle w:val="TableContents"/>
              <w:bidi w:val="0"/>
              <w:spacing w:before="0" w:after="283"/>
              <w:jc w:val="left"/>
              <w:rPr/>
            </w:pPr>
            <w:r>
              <w:rPr/>
              <w:t> </w:t>
            </w:r>
          </w:p>
        </w:tc>
        <w:tc>
          <w:tcPr>
            <w:tcW w:w="1330" w:type="dxa"/>
            <w:tcBorders>
              <w:bottom w:val="single" w:sz="6" w:space="0" w:color="B99C16"/>
            </w:tcBorders>
            <w:tcMar>
              <w:bottom w:w="80" w:type="dxa"/>
            </w:tcMar>
            <w:vAlign w:val="center"/>
          </w:tcPr>
          <w:p>
            <w:pPr>
              <w:pStyle w:val="TableContents"/>
              <w:bidi w:val="0"/>
              <w:spacing w:before="0" w:after="283"/>
              <w:jc w:val="right"/>
              <w:rPr/>
            </w:pPr>
            <w:r>
              <w:rPr/>
              <w:t>205,000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20" w:type="dxa"/>
            <w:tcBorders>
              <w:bottom w:val="single" w:sz="6" w:space="0" w:color="B99C16"/>
            </w:tcBorders>
            <w:tcMar>
              <w:bottom w:w="80" w:type="dxa"/>
            </w:tcMar>
            <w:vAlign w:val="center"/>
          </w:tcPr>
          <w:p>
            <w:pPr>
              <w:pStyle w:val="TableContents"/>
              <w:bidi w:val="0"/>
              <w:spacing w:before="0" w:after="283"/>
              <w:jc w:val="right"/>
              <w:rPr/>
            </w:pPr>
            <w:r>
              <w:rPr/>
              <w:t>465,000 </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2525" w:type="dxa"/>
            <w:tcBorders/>
            <w:shd w:fill="F4F0DC" w:val="clear"/>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549"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Paul C. Varga</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80" w:type="dxa"/>
            </w:tcMar>
            <w:vAlign w:val="center"/>
          </w:tcPr>
          <w:p>
            <w:pPr>
              <w:pStyle w:val="TableContents"/>
              <w:bidi w:val="0"/>
              <w:spacing w:before="0" w:after="283"/>
              <w:jc w:val="left"/>
              <w:rPr/>
            </w:pPr>
            <w:r>
              <w:rPr/>
              <w:t> </w:t>
            </w:r>
          </w:p>
        </w:tc>
        <w:tc>
          <w:tcPr>
            <w:tcW w:w="1149" w:type="dxa"/>
            <w:tcBorders>
              <w:bottom w:val="single" w:sz="6" w:space="0" w:color="B99C16"/>
            </w:tcBorders>
            <w:tcMar>
              <w:bottom w:w="80" w:type="dxa"/>
            </w:tcMar>
            <w:vAlign w:val="center"/>
          </w:tcPr>
          <w:p>
            <w:pPr>
              <w:pStyle w:val="TableContents"/>
              <w:bidi w:val="0"/>
              <w:spacing w:before="0" w:after="283"/>
              <w:jc w:val="right"/>
              <w:rPr/>
            </w:pPr>
            <w:r>
              <w:rPr/>
              <w:t>132,500</w:t>
            </w:r>
          </w:p>
        </w:tc>
        <w:tc>
          <w:tcPr>
            <w:tcW w:w="35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9" w:type="dxa"/>
            <w:tcBorders>
              <w:bottom w:val="single" w:sz="6" w:space="0" w:color="B99C16"/>
            </w:tcBorders>
            <w:tcMar>
              <w:bottom w:w="80" w:type="dxa"/>
            </w:tcMar>
            <w:vAlign w:val="center"/>
          </w:tcPr>
          <w:p>
            <w:pPr>
              <w:pStyle w:val="TableContents"/>
              <w:bidi w:val="0"/>
              <w:spacing w:before="0" w:after="283"/>
              <w:jc w:val="left"/>
              <w:rPr/>
            </w:pPr>
            <w:r>
              <w:rPr/>
              <w:t> </w:t>
            </w:r>
          </w:p>
        </w:tc>
        <w:tc>
          <w:tcPr>
            <w:tcW w:w="1330" w:type="dxa"/>
            <w:tcBorders>
              <w:bottom w:val="single" w:sz="6" w:space="0" w:color="B99C16"/>
            </w:tcBorders>
            <w:tcMar>
              <w:bottom w:w="80" w:type="dxa"/>
            </w:tcMar>
            <w:vAlign w:val="center"/>
          </w:tcPr>
          <w:p>
            <w:pPr>
              <w:pStyle w:val="TableContents"/>
              <w:bidi w:val="0"/>
              <w:spacing w:before="0" w:after="283"/>
              <w:jc w:val="right"/>
              <w:rPr/>
            </w:pPr>
            <w:r>
              <w:rPr/>
              <w:t>205,000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20" w:type="dxa"/>
            <w:tcBorders>
              <w:bottom w:val="single" w:sz="6" w:space="0" w:color="B99C16"/>
            </w:tcBorders>
            <w:tcMar>
              <w:bottom w:w="80" w:type="dxa"/>
            </w:tcMar>
            <w:vAlign w:val="center"/>
          </w:tcPr>
          <w:p>
            <w:pPr>
              <w:pStyle w:val="TableContents"/>
              <w:bidi w:val="0"/>
              <w:spacing w:before="0" w:after="283"/>
              <w:jc w:val="right"/>
              <w:rPr/>
            </w:pPr>
            <w:r>
              <w:rPr/>
              <w:t>337,500 </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305"/>
        <w:gridCol w:w="6200"/>
      </w:tblGrid>
      <w:tr>
        <w:trPr/>
        <w:tc>
          <w:tcPr>
            <w:tcW w:w="305" w:type="dxa"/>
            <w:tcBorders/>
            <w:vAlign w:val="center"/>
          </w:tcPr>
          <w:p>
            <w:pPr>
              <w:pStyle w:val="TableContents"/>
              <w:bidi w:val="0"/>
              <w:spacing w:before="0" w:after="283"/>
              <w:jc w:val="left"/>
              <w:rPr/>
            </w:pPr>
            <w:r>
              <w:rPr/>
              <w:t>(1)</w:t>
            </w:r>
          </w:p>
        </w:tc>
        <w:tc>
          <w:tcPr>
            <w:tcW w:w="6200" w:type="dxa"/>
            <w:tcBorders/>
            <w:vAlign w:val="center"/>
          </w:tcPr>
          <w:p>
            <w:pPr>
              <w:pStyle w:val="TableContents"/>
              <w:bidi w:val="0"/>
              <w:spacing w:before="0" w:after="0"/>
              <w:jc w:val="left"/>
              <w:rPr>
                <w:rFonts w:ascii="arial" w:hAnsi="arial"/>
                <w:sz w:val="20"/>
              </w:rPr>
            </w:pPr>
            <w:r>
              <w:rPr>
                <w:rFonts w:ascii="arial" w:hAnsi="arial"/>
                <w:sz w:val="20"/>
              </w:rPr>
              <w:t xml:space="preserve">Mr. Bridgeman served on the Board until his death on March 11,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(2)</w:t>
            </w:r>
          </w:p>
        </w:tc>
        <w:tc>
          <w:tcPr>
            <w:tcW w:w="9962" w:type="dxa"/>
            <w:tcBorders/>
            <w:vAlign w:val="center"/>
          </w:tcPr>
          <w:p>
            <w:pPr>
              <w:pStyle w:val="TableContents"/>
              <w:bidi w:val="0"/>
              <w:spacing w:before="0" w:after="0"/>
              <w:jc w:val="left"/>
              <w:rPr>
                <w:rFonts w:ascii="arial" w:hAnsi="arial"/>
                <w:sz w:val="20"/>
              </w:rPr>
            </w:pPr>
            <w:r>
              <w:rPr>
                <w:rFonts w:ascii="arial" w:hAnsi="arial"/>
                <w:sz w:val="20"/>
              </w:rPr>
              <w:t xml:space="preserve">The Churchill Downs Incorporated 2005 Deferred Compensation Plan allows directors to defer receipt of all or part of their retainer and meeting fees in a deferred share account until after their service on the Board has ended. This account allows the director, in effect, to invest all or part of his or her deferred cash compensation in Company Common Stock. Funds in this account are credited as hypothetical shares of Common Stock based on the market price of the stock at the time the compensation would otherwise have been earned. Hypothetical dividends are reinvested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6"/>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Election of Directors (Proposal No. 1)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in additional shares based on the market price of the stock on the date dividends are paid. All shares in the deferred share accounts are hypothetical and are not issued or transferred until the director ends his or her service on the Board. Upon the end of Board service, the shares are issued or transferred to the director. Payout options under the plan are limited to either a single lump sum payment or equal annual installments over a term not to exceed ten years. In 2025, Mr. Grissom deferred all of his 2025 directors’ fees into a deferred share account under the plan, while Mr. Bridgeman deferred 50% of his 2025 directors’ fees into a deferred share account under the plan. As of December 31, 2025, Ms. Carter had 866 deferred shares, Mr. Grissom had 12,176 deferred shares, and Mr. Harrington had 71,790 deferred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arial" w:hAnsi="arial"/>
                <w:sz w:val="20"/>
              </w:rPr>
            </w:pPr>
            <w:r>
              <w:rPr>
                <w:rFonts w:ascii="arial" w:hAnsi="arial"/>
                <w:sz w:val="20"/>
              </w:rPr>
              <w:t xml:space="preserve">On April 24, 2025, each then-serving non-employee director received a grant of RSUs or RSAs, valued in the amount of $205,000, calculated based upon the closing price of a share of Common Stock on the date of grant. The RSUs or RSAs vest one year from the date of grant, subject to the director’s continued service through the vesting date. If RSUs are awarded, at the time a director ceases being a director of the Company, the Company will issue one share of Common Stock for each vested RSU held by such director. As of December 31, 2025, Mr. Bridgeman had 0 RSUs and 0 RSAs, Ms. Carter had 3,558 RSUs, Mr. Grissom had 18,000 RSUs, Mr. Harrington had 51,562 RSUs, Ms. Lloyd had 13,182 RSUs and 2,330 RSAs, Mr. Rankin had 51,562 RSUs, and Mr. Varga had 10,201 RSUs. </w:t>
            </w:r>
          </w:p>
        </w:tc>
      </w:tr>
    </w:tbl>
    <w:p>
      <w:pPr>
        <w:pStyle w:val="TextBody"/>
        <w:bidi w:val="0"/>
        <w:spacing w:before="360" w:after="0"/>
        <w:jc w:val="left"/>
        <w:rPr>
          <w:rFonts w:ascii="arial" w:hAnsi="arial"/>
          <w:b/>
          <w:color w:val="004876"/>
          <w:sz w:val="20"/>
        </w:rPr>
      </w:pPr>
      <w:bookmarkStart w:id="15" w:name="toc123994_13"/>
      <w:bookmarkEnd w:id="15"/>
      <w:r>
        <w:rPr>
          <w:rFonts w:ascii="arial" w:hAnsi="arial"/>
          <w:b/>
          <w:color w:val="004876"/>
          <w:sz w:val="20"/>
        </w:rPr>
        <w:t xml:space="preserve">Director Stock Ownership Guidelines </w:t>
      </w:r>
    </w:p>
    <w:p>
      <w:pPr>
        <w:pStyle w:val="TextBody"/>
        <w:bidi w:val="0"/>
        <w:spacing w:before="120" w:after="0"/>
        <w:jc w:val="left"/>
        <w:rPr>
          <w:rFonts w:ascii="arial" w:hAnsi="arial"/>
          <w:sz w:val="20"/>
        </w:rPr>
      </w:pPr>
      <w:r>
        <w:rPr>
          <w:rFonts w:ascii="arial" w:hAnsi="arial"/>
          <w:sz w:val="20"/>
        </w:rPr>
        <w:t xml:space="preserve">As memorialized in the Corporate Governance Guidelines, the Board expects all directors to display confidence in the Company by ownership and retention of a meaningful amount of Common Stock. Pursuant to the Company’s insider trading policy, all directors are subject to the Company’s anti-hedging policy, which prohibits hedging and monetization transactions with respect to Common Stock. In addition, each director is expected to own shares with a fair market value equal to five times the director’s annual retainer. Each director appointed or elected to the Board has five years from the date of appointment or election to the Board to meet this requirement. Each director’s continuing compliance with the ownership guidelines will be measured in the year he or she stands for re-election and will be considered as one of the criteria for nomination by the Nominating and Governance Committee. </w:t>
      </w:r>
    </w:p>
    <w:p>
      <w:pPr>
        <w:pStyle w:val="TextBody"/>
        <w:bidi w:val="0"/>
        <w:spacing w:before="240" w:after="0"/>
        <w:jc w:val="left"/>
        <w:rPr>
          <w:rFonts w:ascii="arial" w:hAnsi="arial"/>
          <w:sz w:val="20"/>
        </w:rPr>
      </w:pPr>
      <w:r>
        <w:rPr>
          <w:rFonts w:ascii="arial" w:hAnsi="arial"/>
          <w:sz w:val="20"/>
        </w:rPr>
        <w:t xml:space="preserve">The chart below shows each current director’s compliance with the ownership guidelines calculated as of December 31, 2025, other than with respect to Mr. Carstanjen, who is subject to maintaining holdings of Common Stock equal to at least six times his annual base salary, pursuant to the Key Executive Stock Ownership and Retention Guidelines, as further described in the “Executive Stock Ownership Guidelines” section below. In addition, deferred shares acquired by directors under the Churchill Downs Incorporated 2005 Deferred Compensation Plan and RSUs and RSAs granted as director compensation are included for purposes of measuring compliance with the Company’s share ownership guidelines. </w:t>
      </w:r>
    </w:p>
    <w:p>
      <w:pPr>
        <w:pStyle w:val="TextBody"/>
        <w:bidi w:val="0"/>
        <w:spacing w:before="0" w:after="0"/>
        <w:jc w:val="left"/>
        <w:rPr/>
      </w:pPr>
      <w:r>
        <w:rPr/>
        <w:t> </w:t>
      </w:r>
    </w:p>
    <w:tbl>
      <w:tblPr>
        <w:tblW w:w="5100" w:type="dxa"/>
        <w:jc w:val="left"/>
        <w:tblInd w:w="0" w:type="dxa"/>
        <w:tblLayout w:type="fixed"/>
        <w:tblCellMar>
          <w:top w:w="0" w:type="dxa"/>
          <w:left w:w="0" w:type="dxa"/>
          <w:bottom w:w="0" w:type="dxa"/>
          <w:right w:w="0" w:type="dxa"/>
        </w:tblCellMar>
      </w:tblPr>
      <w:tblGrid>
        <w:gridCol w:w="1790"/>
        <w:gridCol w:w="120"/>
        <w:gridCol w:w="890"/>
        <w:gridCol w:w="120"/>
        <w:gridCol w:w="2180"/>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1790" w:type="dxa"/>
            <w:tcBorders/>
            <w:shd w:fill="004876" w:val="clear"/>
            <w:vAlign w:val="center"/>
          </w:tcPr>
          <w:p>
            <w:pPr>
              <w:pStyle w:val="TableContents"/>
              <w:bidi w:val="0"/>
              <w:spacing w:before="0" w:after="283"/>
              <w:jc w:val="left"/>
              <w:rPr>
                <w:sz w:val="4"/>
                <w:szCs w:val="4"/>
              </w:rPr>
            </w:pPr>
            <w:r>
              <w:rPr>
                <w:sz w:val="4"/>
                <w:szCs w:val="4"/>
              </w:rPr>
            </w:r>
          </w:p>
        </w:tc>
        <w:tc>
          <w:tcPr>
            <w:tcW w:w="1010" w:type="dxa"/>
            <w:gridSpan w:val="2"/>
            <w:tcBorders/>
            <w:shd w:fill="004876" w:val="clear"/>
            <w:vAlign w:val="center"/>
          </w:tcPr>
          <w:p>
            <w:pPr>
              <w:pStyle w:val="TableContents"/>
              <w:bidi w:val="0"/>
              <w:spacing w:before="0" w:after="283"/>
              <w:jc w:val="left"/>
              <w:rPr>
                <w:sz w:val="4"/>
                <w:szCs w:val="4"/>
              </w:rPr>
            </w:pPr>
            <w:r>
              <w:rPr>
                <w:sz w:val="4"/>
                <w:szCs w:val="4"/>
              </w:rPr>
            </w:r>
          </w:p>
        </w:tc>
        <w:tc>
          <w:tcPr>
            <w:tcW w:w="2300" w:type="dxa"/>
            <w:gridSpan w:val="2"/>
            <w:tcBorders/>
            <w:shd w:fill="004876" w:val="clear"/>
            <w:vAlign w:val="center"/>
          </w:tcPr>
          <w:p>
            <w:pPr>
              <w:pStyle w:val="TableContents"/>
              <w:bidi w:val="0"/>
              <w:spacing w:before="0" w:after="283"/>
              <w:jc w:val="left"/>
              <w:rPr>
                <w:sz w:val="4"/>
                <w:szCs w:val="4"/>
              </w:rPr>
            </w:pPr>
            <w:r>
              <w:rPr>
                <w:sz w:val="4"/>
                <w:szCs w:val="4"/>
              </w:rPr>
            </w:r>
          </w:p>
        </w:tc>
      </w:tr>
      <w:tr>
        <w:trPr/>
        <w:tc>
          <w:tcPr>
            <w:tcW w:w="1790" w:type="dxa"/>
            <w:tcBorders/>
            <w:shd w:fill="004876" w:val="clear"/>
            <w:vAlign w:val="center"/>
          </w:tcPr>
          <w:p>
            <w:pPr>
              <w:pStyle w:val="TableContents"/>
              <w:bidi w:val="0"/>
              <w:spacing w:before="0" w:after="283"/>
              <w:jc w:val="left"/>
              <w:rPr>
                <w:color w:val="FFFFFF"/>
              </w:rPr>
            </w:pPr>
            <w:r>
              <w:rPr>
                <w:color w:val="FFFFFF"/>
              </w:rPr>
              <w:t> </w:t>
            </w:r>
            <w:r>
              <w:rPr>
                <w:b/>
                <w:color w:val="FFFFFF"/>
              </w:rPr>
              <w:t>Director</w:t>
            </w:r>
          </w:p>
        </w:tc>
        <w:tc>
          <w:tcPr>
            <w:tcW w:w="120" w:type="dxa"/>
            <w:tcBorders/>
            <w:shd w:fill="004876" w:val="clear"/>
            <w:vAlign w:val="center"/>
          </w:tcPr>
          <w:p>
            <w:pPr>
              <w:pStyle w:val="TableContents"/>
              <w:bidi w:val="0"/>
              <w:spacing w:before="0" w:after="283"/>
              <w:jc w:val="left"/>
              <w:rPr/>
            </w:pPr>
            <w:r>
              <w:rPr/>
              <w:t>  </w:t>
            </w:r>
          </w:p>
        </w:tc>
        <w:tc>
          <w:tcPr>
            <w:tcW w:w="890" w:type="dxa"/>
            <w:tcBorders/>
            <w:shd w:fill="00487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Ownership</w:t>
            </w:r>
          </w:p>
          <w:p>
            <w:pPr>
              <w:pStyle w:val="TableContents"/>
              <w:bidi w:val="0"/>
              <w:spacing w:before="0" w:after="20"/>
              <w:jc w:val="center"/>
              <w:rPr>
                <w:rFonts w:ascii="arial" w:hAnsi="arial"/>
                <w:b/>
                <w:color w:val="FFFFFF"/>
                <w:sz w:val="16"/>
              </w:rPr>
            </w:pPr>
            <w:r>
              <w:rPr>
                <w:rFonts w:ascii="arial" w:hAnsi="arial"/>
                <w:b/>
                <w:color w:val="FFFFFF"/>
                <w:sz w:val="16"/>
              </w:rPr>
              <w:t>Guidelines</w:t>
            </w:r>
          </w:p>
        </w:tc>
        <w:tc>
          <w:tcPr>
            <w:tcW w:w="120" w:type="dxa"/>
            <w:tcBorders/>
            <w:shd w:fill="004876" w:val="clear"/>
            <w:vAlign w:val="center"/>
          </w:tcPr>
          <w:p>
            <w:pPr>
              <w:pStyle w:val="TableContents"/>
              <w:bidi w:val="0"/>
              <w:spacing w:before="0" w:after="283"/>
              <w:jc w:val="left"/>
              <w:rPr/>
            </w:pPr>
            <w:r>
              <w:rPr/>
              <w:t>  </w:t>
            </w:r>
          </w:p>
        </w:tc>
        <w:tc>
          <w:tcPr>
            <w:tcW w:w="2180" w:type="dxa"/>
            <w:tcBorders/>
            <w:shd w:fill="00487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Met</w:t>
            </w:r>
          </w:p>
          <w:p>
            <w:pPr>
              <w:pStyle w:val="TableContents"/>
              <w:bidi w:val="0"/>
              <w:spacing w:before="0" w:after="20"/>
              <w:jc w:val="center"/>
              <w:rPr>
                <w:rFonts w:ascii="arial" w:hAnsi="arial"/>
                <w:b/>
                <w:color w:val="FFFFFF"/>
                <w:sz w:val="16"/>
              </w:rPr>
            </w:pPr>
            <w:r>
              <w:rPr>
                <w:rFonts w:ascii="arial" w:hAnsi="arial"/>
                <w:b/>
                <w:color w:val="FFFFFF"/>
                <w:sz w:val="16"/>
              </w:rPr>
              <w:t>Guidelines</w:t>
            </w:r>
          </w:p>
        </w:tc>
      </w:tr>
      <w:tr>
        <w:trPr/>
        <w:tc>
          <w:tcPr>
            <w:tcW w:w="1790" w:type="dxa"/>
            <w:tcBorders/>
            <w:shd w:fill="F4F0DC" w:val="clear"/>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Andréa Carter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90" w:type="dxa"/>
            <w:tcBorders>
              <w:bottom w:val="single" w:sz="6" w:space="0" w:color="B99C16"/>
            </w:tcBorders>
            <w:tcMar>
              <w:bottom w:w="80" w:type="dxa"/>
            </w:tcMar>
            <w:vAlign w:val="center"/>
          </w:tcPr>
          <w:p>
            <w:pPr>
              <w:pStyle w:val="TableContents"/>
              <w:bidi w:val="0"/>
              <w:spacing w:before="0" w:after="283"/>
              <w:jc w:val="center"/>
              <w:rPr/>
            </w:pPr>
            <w:r>
              <w:rPr/>
              <w:t>5x</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180" w:type="dxa"/>
            <w:tcBorders>
              <w:bottom w:val="single" w:sz="6" w:space="0" w:color="B99C16"/>
            </w:tcBorders>
            <w:tcMar>
              <w:bottom w:w="80" w:type="dxa"/>
            </w:tcMar>
            <w:vAlign w:val="center"/>
          </w:tcPr>
          <w:p>
            <w:pPr>
              <w:pStyle w:val="TableContents"/>
              <w:bidi w:val="0"/>
              <w:spacing w:before="0" w:after="283"/>
              <w:jc w:val="center"/>
              <w:rPr/>
            </w:pPr>
            <w:r>
              <w:rPr/>
              <w:t> </w:t>
            </w:r>
            <w:r>
              <w:rPr/>
              <w:t>Transition Period(1) </w:t>
            </w:r>
          </w:p>
        </w:tc>
      </w:tr>
      <w:tr>
        <w:trPr/>
        <w:tc>
          <w:tcPr>
            <w:tcW w:w="1790" w:type="dxa"/>
            <w:tcBorders/>
            <w:shd w:fill="F4F0DC" w:val="clear"/>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Douglas C. Grissom</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90" w:type="dxa"/>
            <w:tcBorders>
              <w:bottom w:val="single" w:sz="6" w:space="0" w:color="B99C16"/>
            </w:tcBorders>
            <w:tcMar>
              <w:bottom w:w="80" w:type="dxa"/>
            </w:tcMar>
            <w:vAlign w:val="center"/>
          </w:tcPr>
          <w:p>
            <w:pPr>
              <w:pStyle w:val="TableContents"/>
              <w:bidi w:val="0"/>
              <w:spacing w:before="0" w:after="283"/>
              <w:jc w:val="center"/>
              <w:rPr/>
            </w:pPr>
            <w:r>
              <w:rPr/>
              <w:t>5x</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180" w:type="dxa"/>
            <w:tcBorders>
              <w:bottom w:val="single" w:sz="6" w:space="0" w:color="B99C16"/>
            </w:tcBorders>
            <w:tcMar>
              <w:bottom w:w="80" w:type="dxa"/>
            </w:tcMar>
            <w:vAlign w:val="center"/>
          </w:tcPr>
          <w:p>
            <w:pPr>
              <w:pStyle w:val="TableContents"/>
              <w:bidi w:val="0"/>
              <w:spacing w:before="0" w:after="283"/>
              <w:jc w:val="center"/>
              <w:rPr/>
            </w:pPr>
            <w:r>
              <w:rPr/>
              <w:t>✓</w:t>
            </w:r>
          </w:p>
        </w:tc>
      </w:tr>
      <w:tr>
        <w:trPr/>
        <w:tc>
          <w:tcPr>
            <w:tcW w:w="1790" w:type="dxa"/>
            <w:tcBorders/>
            <w:shd w:fill="F4F0DC" w:val="clear"/>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Daniel P. Harrington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90" w:type="dxa"/>
            <w:tcBorders>
              <w:bottom w:val="single" w:sz="6" w:space="0" w:color="B99C16"/>
            </w:tcBorders>
            <w:tcMar>
              <w:bottom w:w="80" w:type="dxa"/>
            </w:tcMar>
            <w:vAlign w:val="center"/>
          </w:tcPr>
          <w:p>
            <w:pPr>
              <w:pStyle w:val="TableContents"/>
              <w:bidi w:val="0"/>
              <w:spacing w:before="0" w:after="283"/>
              <w:jc w:val="center"/>
              <w:rPr/>
            </w:pPr>
            <w:r>
              <w:rPr/>
              <w:t>5x</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180" w:type="dxa"/>
            <w:tcBorders>
              <w:bottom w:val="single" w:sz="6" w:space="0" w:color="B99C16"/>
            </w:tcBorders>
            <w:tcMar>
              <w:bottom w:w="80" w:type="dxa"/>
            </w:tcMar>
            <w:vAlign w:val="center"/>
          </w:tcPr>
          <w:p>
            <w:pPr>
              <w:pStyle w:val="TableContents"/>
              <w:bidi w:val="0"/>
              <w:spacing w:before="0" w:after="283"/>
              <w:jc w:val="center"/>
              <w:rPr/>
            </w:pPr>
            <w:r>
              <w:rPr/>
              <w:t>✓</w:t>
            </w:r>
          </w:p>
        </w:tc>
      </w:tr>
      <w:tr>
        <w:trPr/>
        <w:tc>
          <w:tcPr>
            <w:tcW w:w="1790" w:type="dxa"/>
            <w:tcBorders/>
            <w:shd w:fill="F4F0DC" w:val="clear"/>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Karole F. Lloyd</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90" w:type="dxa"/>
            <w:tcBorders>
              <w:bottom w:val="single" w:sz="6" w:space="0" w:color="B99C16"/>
            </w:tcBorders>
            <w:tcMar>
              <w:bottom w:w="80" w:type="dxa"/>
            </w:tcMar>
            <w:vAlign w:val="center"/>
          </w:tcPr>
          <w:p>
            <w:pPr>
              <w:pStyle w:val="TableContents"/>
              <w:bidi w:val="0"/>
              <w:spacing w:before="0" w:after="283"/>
              <w:jc w:val="center"/>
              <w:rPr/>
            </w:pPr>
            <w:r>
              <w:rPr/>
              <w:t>5x</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180" w:type="dxa"/>
            <w:tcBorders>
              <w:bottom w:val="single" w:sz="6" w:space="0" w:color="B99C16"/>
            </w:tcBorders>
            <w:tcMar>
              <w:bottom w:w="80" w:type="dxa"/>
            </w:tcMar>
            <w:vAlign w:val="center"/>
          </w:tcPr>
          <w:p>
            <w:pPr>
              <w:pStyle w:val="TableContents"/>
              <w:bidi w:val="0"/>
              <w:spacing w:before="0" w:after="283"/>
              <w:jc w:val="center"/>
              <w:rPr/>
            </w:pPr>
            <w:r>
              <w:rPr/>
              <w:t>✓</w:t>
            </w:r>
          </w:p>
        </w:tc>
      </w:tr>
      <w:tr>
        <w:trPr/>
        <w:tc>
          <w:tcPr>
            <w:tcW w:w="1790" w:type="dxa"/>
            <w:tcBorders/>
            <w:shd w:fill="F4F0DC" w:val="clear"/>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R. Alex Rankin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90" w:type="dxa"/>
            <w:tcBorders>
              <w:bottom w:val="single" w:sz="6" w:space="0" w:color="B99C16"/>
            </w:tcBorders>
            <w:tcMar>
              <w:bottom w:w="80" w:type="dxa"/>
            </w:tcMar>
            <w:vAlign w:val="center"/>
          </w:tcPr>
          <w:p>
            <w:pPr>
              <w:pStyle w:val="TableContents"/>
              <w:bidi w:val="0"/>
              <w:spacing w:before="0" w:after="283"/>
              <w:jc w:val="center"/>
              <w:rPr/>
            </w:pPr>
            <w:r>
              <w:rPr/>
              <w:t>5x</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180" w:type="dxa"/>
            <w:tcBorders>
              <w:bottom w:val="single" w:sz="6" w:space="0" w:color="B99C16"/>
            </w:tcBorders>
            <w:tcMar>
              <w:bottom w:w="80" w:type="dxa"/>
            </w:tcMar>
            <w:vAlign w:val="center"/>
          </w:tcPr>
          <w:p>
            <w:pPr>
              <w:pStyle w:val="TableContents"/>
              <w:bidi w:val="0"/>
              <w:spacing w:before="0" w:after="283"/>
              <w:jc w:val="center"/>
              <w:rPr/>
            </w:pPr>
            <w:r>
              <w:rPr/>
              <w:t>✓</w:t>
            </w:r>
          </w:p>
        </w:tc>
      </w:tr>
      <w:tr>
        <w:trPr/>
        <w:tc>
          <w:tcPr>
            <w:tcW w:w="1790" w:type="dxa"/>
            <w:tcBorders/>
            <w:shd w:fill="F4F0DC" w:val="clear"/>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Paul C. Varga</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90" w:type="dxa"/>
            <w:tcBorders>
              <w:bottom w:val="single" w:sz="6" w:space="0" w:color="B99C16"/>
            </w:tcBorders>
            <w:tcMar>
              <w:bottom w:w="80" w:type="dxa"/>
            </w:tcMar>
            <w:vAlign w:val="center"/>
          </w:tcPr>
          <w:p>
            <w:pPr>
              <w:pStyle w:val="TableContents"/>
              <w:bidi w:val="0"/>
              <w:spacing w:before="0" w:after="283"/>
              <w:jc w:val="center"/>
              <w:rPr/>
            </w:pPr>
            <w:r>
              <w:rPr/>
              <w:t>5x</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180" w:type="dxa"/>
            <w:tcBorders>
              <w:bottom w:val="single" w:sz="6" w:space="0" w:color="B99C16"/>
            </w:tcBorders>
            <w:tcMar>
              <w:bottom w:w="80" w:type="dxa"/>
            </w:tcMar>
            <w:vAlign w:val="center"/>
          </w:tcPr>
          <w:p>
            <w:pPr>
              <w:pStyle w:val="TableContents"/>
              <w:bidi w:val="0"/>
              <w:spacing w:before="0" w:after="283"/>
              <w:jc w:val="center"/>
              <w:rPr/>
            </w:pPr>
            <w:r>
              <w:rPr/>
              <w:t>✓</w:t>
            </w:r>
          </w:p>
        </w:tc>
      </w:tr>
    </w:tbl>
    <w:p>
      <w:pPr>
        <w:pStyle w:val="TextBody"/>
        <w:bidi w:val="0"/>
        <w:spacing w:before="0" w:after="0"/>
        <w:jc w:val="left"/>
        <w:rPr/>
      </w:pPr>
      <w:r>
        <w:rPr/>
        <w:t> </w:t>
      </w:r>
    </w:p>
    <w:tbl>
      <w:tblPr>
        <w:tblW w:w="2010" w:type="dxa"/>
        <w:jc w:val="left"/>
        <w:tblInd w:w="0" w:type="dxa"/>
        <w:tblLayout w:type="fixed"/>
        <w:tblCellMar>
          <w:top w:w="0" w:type="dxa"/>
          <w:left w:w="0" w:type="dxa"/>
          <w:bottom w:w="0" w:type="dxa"/>
          <w:right w:w="0" w:type="dxa"/>
        </w:tblCellMar>
      </w:tblPr>
      <w:tblGrid>
        <w:gridCol w:w="245"/>
        <w:gridCol w:w="60"/>
        <w:gridCol w:w="155"/>
        <w:gridCol w:w="60"/>
        <w:gridCol w:w="149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1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Met guidelines.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left"/>
              <w:rPr>
                <w:rFonts w:ascii="arial" w:hAnsi="arial"/>
                <w:sz w:val="20"/>
              </w:rPr>
            </w:pPr>
            <w:r>
              <w:rPr>
                <w:rFonts w:ascii="arial" w:hAnsi="arial"/>
                <w:sz w:val="20"/>
              </w:rPr>
              <w:t xml:space="preserve">Ms. Carter became a director in December 2022 and will not be required to satisfy the Director Stock Ownership Guidelines until December 2027.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14</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7"/>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Corporate Governance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6831" w:type="dxa"/>
        <w:jc w:val="left"/>
        <w:tblInd w:w="0" w:type="dxa"/>
        <w:tblLayout w:type="fixed"/>
        <w:tblCellMar>
          <w:top w:w="0" w:type="dxa"/>
          <w:left w:w="0" w:type="dxa"/>
          <w:bottom w:w="0" w:type="dxa"/>
          <w:right w:w="0" w:type="dxa"/>
        </w:tblCellMar>
      </w:tblPr>
      <w:tblGrid>
        <w:gridCol w:w="75"/>
        <w:gridCol w:w="23"/>
        <w:gridCol w:w="23"/>
        <w:gridCol w:w="60"/>
        <w:gridCol w:w="6650"/>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0"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0"/>
              <w:jc w:val="left"/>
              <w:rPr>
                <w:rFonts w:ascii="arial" w:hAnsi="arial"/>
                <w:b/>
                <w:color w:val="004876"/>
                <w:sz w:val="48"/>
              </w:rPr>
            </w:pPr>
            <w:bookmarkStart w:id="16" w:name="toc123994_14"/>
            <w:bookmarkEnd w:id="16"/>
            <w:r>
              <w:rPr>
                <w:rFonts w:ascii="arial" w:hAnsi="arial"/>
                <w:b/>
                <w:color w:val="004876"/>
                <w:sz w:val="48"/>
              </w:rPr>
              <w:t>CORPORATE GOVERNANCE</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The Board of Directors is responsible for providing effective governance over the Company’s affairs. The Company’s corporate governance practices are designed to align the interests of the Board and management with those of our shareholders and to promote honesty and integrity throughout the Company. </w:t>
      </w:r>
    </w:p>
    <w:p>
      <w:pPr>
        <w:pStyle w:val="TextBody"/>
        <w:bidi w:val="0"/>
        <w:spacing w:before="240" w:after="0"/>
        <w:jc w:val="left"/>
        <w:rPr>
          <w:rFonts w:ascii="arial" w:hAnsi="arial"/>
          <w:sz w:val="20"/>
        </w:rPr>
      </w:pPr>
      <w:r>
        <w:rPr>
          <w:rFonts w:ascii="arial" w:hAnsi="arial"/>
          <w:sz w:val="20"/>
        </w:rPr>
        <w:t xml:space="preserve">We annually review our corporate governance policies and practices and compare them to those suggested by various authorities in corporate governance and the practices of other public companies, as well as any updated SEC and Nasdaq rules. </w:t>
      </w:r>
    </w:p>
    <w:p>
      <w:pPr>
        <w:pStyle w:val="TextBody"/>
        <w:bidi w:val="0"/>
        <w:spacing w:before="240" w:after="0"/>
        <w:jc w:val="left"/>
        <w:rPr>
          <w:rFonts w:ascii="arial" w:hAnsi="arial"/>
          <w:sz w:val="20"/>
        </w:rPr>
      </w:pPr>
      <w:r>
        <w:rPr>
          <w:rFonts w:ascii="arial" w:hAnsi="arial"/>
          <w:sz w:val="20"/>
        </w:rPr>
        <w:t xml:space="preserve">Copies of the current charter, as approved by our Board, for each of our Audit, Compensation and Nominating and Governance Committees, as well as copies of our Corporate Governance Guidelines and Code of Conduct (along with any amendments or waivers related to the Code of Conduct), are available on our corporate website, </w:t>
      </w:r>
      <w:r>
        <w:rPr>
          <w:rFonts w:ascii="arial" w:hAnsi="arial"/>
          <w:sz w:val="20"/>
          <w:u w:val="single"/>
        </w:rPr>
        <w:t>http://www.churchilldownsincorporated.com</w:t>
      </w:r>
      <w:r>
        <w:rPr>
          <w:rFonts w:ascii="arial" w:hAnsi="arial"/>
          <w:sz w:val="20"/>
        </w:rPr>
        <w:t xml:space="preserve">, under the “Governance” subheading under the “Investors” tab. Please note that information available through our website is not incorporated by reference into this Proxy Statement. </w:t>
      </w:r>
    </w:p>
    <w:p>
      <w:pPr>
        <w:pStyle w:val="TextBody"/>
        <w:bidi w:val="0"/>
        <w:spacing w:before="240" w:after="0"/>
        <w:jc w:val="left"/>
        <w:rPr>
          <w:rFonts w:ascii="arial" w:hAnsi="arial"/>
          <w:sz w:val="20"/>
        </w:rPr>
      </w:pPr>
      <w:r>
        <w:rPr>
          <w:rFonts w:ascii="arial" w:hAnsi="arial"/>
          <w:sz w:val="20"/>
        </w:rPr>
        <w:t xml:space="preserve">The Company has adopted an insider trading policy governing the purchase and sale and other disposition of Company securities by our directors, officers and employees. The Company believes this policy is reasonably designed to promote compliance with insider trading laws, rules and regulations, and Nasdaq listing standards. It is also our policy that the Company will not trade in company securities in violation of applicable securities laws or stock exchange listing standards. Our insider trading policy was filed as Exhibit 19 to our Company’s Annual Report on Form 10-K for the fiscal year ended December 31, 2025. </w:t>
      </w:r>
    </w:p>
    <w:p>
      <w:pPr>
        <w:pStyle w:val="TextBody"/>
        <w:bidi w:val="0"/>
        <w:spacing w:before="360" w:after="0"/>
        <w:jc w:val="left"/>
        <w:rPr>
          <w:rFonts w:ascii="arial" w:hAnsi="arial"/>
          <w:b/>
          <w:color w:val="004876"/>
          <w:sz w:val="20"/>
        </w:rPr>
      </w:pPr>
      <w:bookmarkStart w:id="17" w:name="toc123994_15"/>
      <w:bookmarkEnd w:id="17"/>
      <w:r>
        <w:rPr>
          <w:rFonts w:ascii="arial" w:hAnsi="arial"/>
          <w:b/>
          <w:color w:val="004876"/>
          <w:sz w:val="20"/>
        </w:rPr>
        <w:t xml:space="preserve">Shareholder Communications </w:t>
      </w:r>
    </w:p>
    <w:p>
      <w:pPr>
        <w:pStyle w:val="TextBody"/>
        <w:bidi w:val="0"/>
        <w:spacing w:before="120" w:after="0"/>
        <w:jc w:val="left"/>
        <w:rPr>
          <w:rFonts w:ascii="arial" w:hAnsi="arial"/>
          <w:sz w:val="20"/>
        </w:rPr>
      </w:pPr>
      <w:r>
        <w:rPr>
          <w:rFonts w:ascii="arial" w:hAnsi="arial"/>
          <w:sz w:val="20"/>
        </w:rPr>
        <w:t xml:space="preserve">Shareholders and other interested parties may send communications to the Company’s Board of Directors addressed to the Board of Directors or to any individual director c/o Churchill Downs Incorporated, 600 N. Hurstbourne Parkway, Ste. 400, Louisville, Kentucky 40222. Any correspondence addressed to the Board of Directors in care of the Company is forwarded to the Board of Directors without review by management. </w:t>
      </w:r>
    </w:p>
    <w:p>
      <w:pPr>
        <w:pStyle w:val="TextBody"/>
        <w:bidi w:val="0"/>
        <w:spacing w:before="360" w:after="0"/>
        <w:jc w:val="left"/>
        <w:rPr>
          <w:rFonts w:ascii="arial" w:hAnsi="arial"/>
          <w:b/>
          <w:color w:val="004876"/>
          <w:sz w:val="20"/>
        </w:rPr>
      </w:pPr>
      <w:bookmarkStart w:id="18" w:name="toc123994_16"/>
      <w:bookmarkEnd w:id="18"/>
      <w:r>
        <w:rPr>
          <w:rFonts w:ascii="arial" w:hAnsi="arial"/>
          <w:b/>
          <w:color w:val="004876"/>
          <w:sz w:val="20"/>
        </w:rPr>
        <w:t xml:space="preserve">Board Leadership Structure </w:t>
      </w:r>
    </w:p>
    <w:p>
      <w:pPr>
        <w:pStyle w:val="TextBody"/>
        <w:bidi w:val="0"/>
        <w:spacing w:before="120" w:after="0"/>
        <w:jc w:val="left"/>
        <w:rPr>
          <w:rFonts w:ascii="arial" w:hAnsi="arial"/>
          <w:sz w:val="20"/>
        </w:rPr>
      </w:pPr>
      <w:r>
        <w:rPr>
          <w:rFonts w:ascii="arial" w:hAnsi="arial"/>
          <w:sz w:val="20"/>
        </w:rPr>
        <w:t xml:space="preserve">R. Alex Rankin is the Chairman of the Board of Directors. The Board continues to deem it advisable to maintain certain aspects of its governance structure to assure effective independent oversight. These governance practices include maintaining executive sessions of the independent directors after each Board meeting, annual performance evaluations of the CEO by the independent directors, and separate roles for the CEO and Chairman of the Board of Directors. Our Corporate Governance Guidelines state that the offices of the Chairman of the Board and CEO may be either combined or separated, in the Board’s discretion; provided, that if the Board designates one individual to serve as the Chairman of the Board and the CEO, the Board will then designate an independent director to serve as the Lead Independent Director. The Board will review the designation of Lead Independent Director periodically, but in no event less often than every two years. The Board is currently led by an independent Chairman, Mr. Rankin. The Board believes that separating the roles of CEO and Chairman of the Board is the most appropriate structure at this time. Separating the roles of CEO and Chairman of the Board ensures that our CEO is able to more exclusively focus on this role. The Board also believes that an independent Chairman of the Board allows for independent oversight of management, increases management accountability, and encourages an objective evaluation of management’s performance relative to compensation. </w:t>
      </w:r>
    </w:p>
    <w:p>
      <w:pPr>
        <w:pStyle w:val="TextBody"/>
        <w:bidi w:val="0"/>
        <w:spacing w:before="240" w:after="0"/>
        <w:jc w:val="left"/>
        <w:rPr>
          <w:rFonts w:ascii="arial" w:hAnsi="arial"/>
          <w:sz w:val="20"/>
        </w:rPr>
      </w:pPr>
      <w:r>
        <w:rPr>
          <w:rFonts w:ascii="arial" w:hAnsi="arial"/>
          <w:sz w:val="20"/>
        </w:rPr>
        <w:t xml:space="preserve">The Chairman of the Board has the following responsibilities (in conjunction with the Lead Independent Director, if applicable): (i) preside at all Board meetings and meetings of shareholders, (ii) serve as liaison between the Board and Company management; (iii) work with the CEO to formulate the Company’s business strategies; and (iv) represent the Company, Board and management to the shareholders and the public. Additionally, the Chairman of the Board serves as an ex officio member of each Board committee on which the Chairman does not already serve as a voting member. The duties of the Lead Independent Director, if applicable, are set forth in the Company’s Corporate Governance Guidelines. </w:t>
      </w:r>
    </w:p>
    <w:p>
      <w:pPr>
        <w:pStyle w:val="TextBody"/>
        <w:bidi w:val="0"/>
        <w:spacing w:before="360" w:after="0"/>
        <w:jc w:val="left"/>
        <w:rPr>
          <w:rFonts w:ascii="arial" w:hAnsi="arial"/>
          <w:b/>
          <w:color w:val="004876"/>
          <w:sz w:val="20"/>
        </w:rPr>
      </w:pPr>
      <w:bookmarkStart w:id="19" w:name="toc123994_17"/>
      <w:bookmarkEnd w:id="19"/>
      <w:r>
        <w:rPr>
          <w:rFonts w:ascii="arial" w:hAnsi="arial"/>
          <w:b/>
          <w:color w:val="004876"/>
          <w:sz w:val="20"/>
        </w:rPr>
        <w:t xml:space="preserve">Oversight of Company Risk </w:t>
      </w:r>
    </w:p>
    <w:p>
      <w:pPr>
        <w:pStyle w:val="TextBody"/>
        <w:bidi w:val="0"/>
        <w:spacing w:before="120" w:after="0"/>
        <w:jc w:val="left"/>
        <w:rPr>
          <w:rFonts w:ascii="arial" w:hAnsi="arial"/>
          <w:sz w:val="20"/>
        </w:rPr>
      </w:pPr>
      <w:r>
        <w:rPr>
          <w:rFonts w:ascii="arial" w:hAnsi="arial"/>
          <w:sz w:val="20"/>
        </w:rPr>
        <w:t xml:space="preserve">As part of its responsibility to oversee the management, business and strategy of the Company, the Board of Directors has overall responsibility for risk oversight. While the Board of Directors performs certain risk oversight functions directly, such as its ongoing review, approval and monitoring of the Company’s fundamental business and financial strategies and major corporate actions, the majority of the Board of Directors’ risk oversight functions are carried out through the operation of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8"/>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Corporate Governance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its committees. Each committee oversees risk management within its assigned areas of responsibility, as described below in the discussion of committee responsibilities. Enterprise risk management falls under the leadership of our executive team with oversight from the Audit Committee. The purpose of this program is to promote risk-intelligent decision making and, in turn, increase the likelihood of achieving our operational objectives. Our Board of Directors is regularly advised of potential organizational risks and supporting mitigating policies, including quarterly reports from management on cybersecurity matters. For further details on cybersecurity oversight, please see Item 1C. Cybersecurity in the Company’s Form 10-K for the fiscal year ended December 31, 2025. The Audit Committee is primarily responsible for overseeing the Company’s risk assessment and risk management practices, as well as its compliance programs. The Audit Committee is also responsible for monitoring the effectiveness of the Company’s information technology security and control, which includes insurance coverage for protection against cyber-attacks. The Compensation Committee’s responsibilities include oversight of the risks associated with the Company’s compensation policies and practices, as well as its managerial development and succession plans. The Nominating and Governance Committee oversees the risks related to the Company’s corporate governance structure and processes, including risks related to environmental and sustainability matters. </w:t>
      </w:r>
    </w:p>
    <w:p>
      <w:pPr>
        <w:pStyle w:val="TextBody"/>
        <w:bidi w:val="0"/>
        <w:spacing w:before="360" w:after="0"/>
        <w:jc w:val="left"/>
        <w:rPr>
          <w:rFonts w:ascii="arial" w:hAnsi="arial"/>
          <w:b/>
          <w:color w:val="004876"/>
          <w:sz w:val="20"/>
        </w:rPr>
      </w:pPr>
      <w:bookmarkStart w:id="20" w:name="toc123994_18"/>
      <w:bookmarkEnd w:id="20"/>
      <w:r>
        <w:rPr>
          <w:rFonts w:ascii="arial" w:hAnsi="arial"/>
          <w:b/>
          <w:color w:val="004876"/>
          <w:sz w:val="20"/>
        </w:rPr>
        <w:t xml:space="preserve">Board Evaluations </w:t>
      </w:r>
    </w:p>
    <w:p>
      <w:pPr>
        <w:pStyle w:val="TextBody"/>
        <w:bidi w:val="0"/>
        <w:spacing w:before="120" w:after="0"/>
        <w:jc w:val="left"/>
        <w:rPr>
          <w:rFonts w:ascii="arial" w:hAnsi="arial"/>
          <w:sz w:val="20"/>
        </w:rPr>
      </w:pPr>
      <w:r>
        <w:rPr>
          <w:rFonts w:ascii="arial" w:hAnsi="arial"/>
          <w:sz w:val="20"/>
        </w:rPr>
        <w:t xml:space="preserve">The Board conducts an annual self-evaluation to assist in determining whether it and its committees are functioning effectively. The Nominating and Governance Committee solicits comments from all directors and reports annually to the Board with an assessment of the Board’s performance and how its committees are functioning. This is discussed with the full Board following the end of each fiscal year. The assessment focuses on the Board’s contribution to the Company and specifically focuses on areas in which the Board or management believes that the Board could improve. </w:t>
      </w:r>
    </w:p>
    <w:p>
      <w:pPr>
        <w:pStyle w:val="TextBody"/>
        <w:bidi w:val="0"/>
        <w:spacing w:before="360" w:after="0"/>
        <w:jc w:val="left"/>
        <w:rPr>
          <w:rFonts w:ascii="arial" w:hAnsi="arial"/>
          <w:b/>
          <w:color w:val="004876"/>
          <w:sz w:val="20"/>
        </w:rPr>
      </w:pPr>
      <w:bookmarkStart w:id="21" w:name="toc123994_19"/>
      <w:bookmarkEnd w:id="21"/>
      <w:r>
        <w:rPr>
          <w:rFonts w:ascii="arial" w:hAnsi="arial"/>
          <w:b/>
          <w:color w:val="004876"/>
          <w:sz w:val="20"/>
        </w:rPr>
        <w:t xml:space="preserve">Board Meetings and Committees </w:t>
      </w:r>
    </w:p>
    <w:p>
      <w:pPr>
        <w:pStyle w:val="TextBody"/>
        <w:bidi w:val="0"/>
        <w:spacing w:before="120" w:after="0"/>
        <w:jc w:val="left"/>
        <w:rPr>
          <w:rFonts w:ascii="arial" w:hAnsi="arial"/>
          <w:sz w:val="20"/>
        </w:rPr>
      </w:pPr>
      <w:r>
        <w:rPr>
          <w:rFonts w:ascii="arial" w:hAnsi="arial"/>
          <w:sz w:val="20"/>
        </w:rPr>
        <w:t xml:space="preserve">Seven (7) meetings of the Board of Directors were held during the last fiscal year. During the fiscal year, all incumbent directors attended at least 75% of their Board and committee meetings for the period for which they served. The Company encourages its directors to attend the annual meeting of shareholders each year. Each of the directors on the Board attended the Company’s annual meeting in 2025. </w:t>
      </w:r>
    </w:p>
    <w:p>
      <w:pPr>
        <w:pStyle w:val="TextBody"/>
        <w:bidi w:val="0"/>
        <w:spacing w:before="240" w:after="0"/>
        <w:jc w:val="left"/>
        <w:rPr>
          <w:rFonts w:ascii="arial" w:hAnsi="arial"/>
          <w:sz w:val="20"/>
        </w:rPr>
      </w:pPr>
      <w:r>
        <w:rPr>
          <w:rFonts w:ascii="arial" w:hAnsi="arial"/>
          <w:sz w:val="20"/>
        </w:rPr>
        <w:t xml:space="preserve">The Board has determined that all of the directors of the Company who served during any part of the last completed fiscal year are “independent directors,” as defined under Nasdaq Rule 5605(a)(2), except William C. Carstanjen, due to his position as CEO of the Company. </w:t>
      </w:r>
    </w:p>
    <w:p>
      <w:pPr>
        <w:pStyle w:val="TextBody"/>
        <w:bidi w:val="0"/>
        <w:spacing w:before="240" w:after="0"/>
        <w:jc w:val="left"/>
        <w:rPr>
          <w:rFonts w:ascii="arial" w:hAnsi="arial"/>
          <w:sz w:val="20"/>
        </w:rPr>
      </w:pPr>
      <w:r>
        <w:rPr>
          <w:rFonts w:ascii="arial" w:hAnsi="arial"/>
          <w:sz w:val="20"/>
        </w:rPr>
        <w:t xml:space="preserve">As required by the Company’s Corporate Governance Guidelines, the Board of Directors currently has four (4) standing committees: the Executive, Audit, Compensation, and Nominating and Governance Committees. The current composition of the committees is illustrated in the table below, along with the number of meetings held in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0"/>
        <w:gridCol w:w="120"/>
        <w:gridCol w:w="979"/>
        <w:gridCol w:w="120"/>
        <w:gridCol w:w="1130"/>
        <w:gridCol w:w="120"/>
        <w:gridCol w:w="1130"/>
        <w:gridCol w:w="120"/>
        <w:gridCol w:w="1490"/>
        <w:gridCol w:w="120"/>
        <w:gridCol w:w="2436"/>
      </w:tblGrid>
      <w:tr>
        <w:trPr/>
        <w:tc>
          <w:tcPr>
            <w:tcW w:w="2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r>
      <w:tr>
        <w:trPr/>
        <w:tc>
          <w:tcPr>
            <w:tcW w:w="2440"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099"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250"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250"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610"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2556" w:type="dxa"/>
            <w:gridSpan w:val="2"/>
            <w:tcBorders>
              <w:top w:val="single" w:sz="16" w:space="0" w:color="004876"/>
              <w:right w:val="single" w:sz="6" w:space="0" w:color="004876"/>
            </w:tcBorders>
            <w:shd w:fill="004876" w:val="clear"/>
            <w:tcMar>
              <w:top w:w="28" w:type="dxa"/>
              <w:right w:w="28" w:type="dxa"/>
            </w:tcMar>
            <w:vAlign w:val="center"/>
          </w:tcPr>
          <w:p>
            <w:pPr>
              <w:pStyle w:val="TableContents"/>
              <w:bidi w:val="0"/>
              <w:spacing w:before="0" w:after="283"/>
              <w:jc w:val="left"/>
              <w:rPr/>
            </w:pPr>
            <w:r>
              <w:rPr/>
              <w:t> </w:t>
            </w:r>
          </w:p>
        </w:tc>
      </w:tr>
      <w:tr>
        <w:trPr/>
        <w:tc>
          <w:tcPr>
            <w:tcW w:w="2440" w:type="dxa"/>
            <w:tcBorders>
              <w:bottom w:val="single" w:sz="16" w:space="0" w:color="004876"/>
            </w:tcBorders>
            <w:shd w:fill="004876" w:val="clear"/>
            <w:tcMar>
              <w:bottom w:w="12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Director Name</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979" w:type="dxa"/>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 xml:space="preserve">Board of </w:t>
              <w:br/>
              <w:t>Directors</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130" w:type="dxa"/>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 xml:space="preserve">Executive </w:t>
              <w:br/>
              <w:t>Committee</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130" w:type="dxa"/>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 xml:space="preserve">Audit </w:t>
              <w:br/>
              <w:t>Committee</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490" w:type="dxa"/>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Compensation</w:t>
              <w:br/>
              <w:t>Committee</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2436" w:type="dxa"/>
            <w:tcBorders>
              <w:bottom w:val="single" w:sz="16" w:space="0" w:color="004876"/>
              <w:right w:val="single" w:sz="6" w:space="0" w:color="004876"/>
            </w:tcBorders>
            <w:shd w:fill="004876" w:val="clear"/>
            <w:tcMar>
              <w:bottom w:w="120" w:type="dxa"/>
              <w:right w:w="40" w:type="dxa"/>
            </w:tcMar>
            <w:vAlign w:val="center"/>
          </w:tcPr>
          <w:p>
            <w:pPr>
              <w:pStyle w:val="TableContents"/>
              <w:bidi w:val="0"/>
              <w:spacing w:before="0" w:after="283"/>
              <w:jc w:val="center"/>
              <w:rPr>
                <w:b/>
                <w:color w:val="FFFFFF"/>
              </w:rPr>
            </w:pPr>
            <w:r>
              <w:rPr>
                <w:b/>
                <w:color w:val="FFFFFF"/>
              </w:rPr>
              <w:t xml:space="preserve">Nominating and </w:t>
              <w:br/>
              <w:t>Governance Committee</w:t>
            </w:r>
          </w:p>
        </w:tc>
      </w:tr>
      <w:tr>
        <w:trPr/>
        <w:tc>
          <w:tcPr>
            <w:tcW w:w="2440" w:type="dxa"/>
            <w:tcBorders/>
            <w:shd w:fill="F4F0DC" w:val="clear"/>
            <w:vAlign w:val="center"/>
          </w:tcPr>
          <w:p>
            <w:pPr>
              <w:pStyle w:val="TableContents"/>
              <w:bidi w:val="0"/>
              <w:spacing w:before="0" w:after="283"/>
              <w:jc w:val="left"/>
              <w:rPr>
                <w:sz w:val="4"/>
                <w:szCs w:val="4"/>
              </w:rPr>
            </w:pPr>
            <w:r>
              <w:rPr>
                <w:sz w:val="4"/>
                <w:szCs w:val="4"/>
              </w:rPr>
            </w:r>
          </w:p>
        </w:tc>
        <w:tc>
          <w:tcPr>
            <w:tcW w:w="1099"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6"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bottom w:val="single" w:sz="6" w:space="0" w:color="B99C16"/>
            </w:tcBorders>
            <w:shd w:fill="F4F0DC" w:val="clear"/>
            <w:tcMar>
              <w:bottom w:w="28" w:type="dxa"/>
            </w:tcMar>
            <w:vAlign w:val="center"/>
          </w:tcPr>
          <w:p>
            <w:pPr>
              <w:pStyle w:val="TableContents"/>
              <w:bidi w:val="0"/>
              <w:spacing w:lineRule="atLeast" w:line="320" w:before="0" w:after="0"/>
              <w:jc w:val="left"/>
              <w:rPr>
                <w:rFonts w:ascii="arial" w:hAnsi="arial"/>
                <w:sz w:val="20"/>
              </w:rPr>
            </w:pPr>
            <w:r>
              <w:rPr>
                <w:rFonts w:ascii="arial" w:hAnsi="arial"/>
                <w:sz w:val="20"/>
              </w:rPr>
              <w:t>William C. Carstanjen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79"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9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436"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440" w:type="dxa"/>
            <w:tcBorders/>
            <w:shd w:fill="F4F0DC" w:val="clear"/>
            <w:vAlign w:val="center"/>
          </w:tcPr>
          <w:p>
            <w:pPr>
              <w:pStyle w:val="TableContents"/>
              <w:bidi w:val="0"/>
              <w:spacing w:before="0" w:after="283"/>
              <w:jc w:val="left"/>
              <w:rPr>
                <w:sz w:val="4"/>
                <w:szCs w:val="4"/>
              </w:rPr>
            </w:pPr>
            <w:r>
              <w:rPr>
                <w:sz w:val="4"/>
                <w:szCs w:val="4"/>
              </w:rPr>
            </w:r>
          </w:p>
        </w:tc>
        <w:tc>
          <w:tcPr>
            <w:tcW w:w="1099"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6"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bottom w:val="single" w:sz="6" w:space="0" w:color="B99C16"/>
            </w:tcBorders>
            <w:shd w:fill="F4F0DC" w:val="clear"/>
            <w:tcMar>
              <w:bottom w:w="28" w:type="dxa"/>
            </w:tcMar>
            <w:vAlign w:val="center"/>
          </w:tcPr>
          <w:p>
            <w:pPr>
              <w:pStyle w:val="TableContents"/>
              <w:bidi w:val="0"/>
              <w:spacing w:lineRule="atLeast" w:line="320" w:before="0" w:after="0"/>
              <w:jc w:val="left"/>
              <w:rPr>
                <w:rFonts w:ascii="arial" w:hAnsi="arial"/>
                <w:sz w:val="20"/>
              </w:rPr>
            </w:pPr>
            <w:r>
              <w:rPr>
                <w:rFonts w:ascii="arial" w:hAnsi="arial"/>
                <w:sz w:val="20"/>
              </w:rPr>
              <w:t>Douglas C. Grissom</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79"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90"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436"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Chair</w:t>
            </w:r>
          </w:p>
        </w:tc>
      </w:tr>
      <w:tr>
        <w:trPr/>
        <w:tc>
          <w:tcPr>
            <w:tcW w:w="2440" w:type="dxa"/>
            <w:tcBorders/>
            <w:shd w:fill="F4F0DC" w:val="clear"/>
            <w:vAlign w:val="center"/>
          </w:tcPr>
          <w:p>
            <w:pPr>
              <w:pStyle w:val="TableContents"/>
              <w:bidi w:val="0"/>
              <w:spacing w:before="0" w:after="283"/>
              <w:jc w:val="left"/>
              <w:rPr>
                <w:sz w:val="4"/>
                <w:szCs w:val="4"/>
              </w:rPr>
            </w:pPr>
            <w:r>
              <w:rPr>
                <w:sz w:val="4"/>
                <w:szCs w:val="4"/>
              </w:rPr>
            </w:r>
          </w:p>
        </w:tc>
        <w:tc>
          <w:tcPr>
            <w:tcW w:w="1099"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6"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bottom w:val="single" w:sz="6" w:space="0" w:color="B99C16"/>
            </w:tcBorders>
            <w:shd w:fill="F4F0DC" w:val="clear"/>
            <w:tcMar>
              <w:bottom w:w="28" w:type="dxa"/>
            </w:tcMar>
            <w:vAlign w:val="center"/>
          </w:tcPr>
          <w:p>
            <w:pPr>
              <w:pStyle w:val="TableContents"/>
              <w:bidi w:val="0"/>
              <w:spacing w:lineRule="atLeast" w:line="320" w:before="0" w:after="0"/>
              <w:jc w:val="left"/>
              <w:rPr>
                <w:rFonts w:ascii="arial" w:hAnsi="arial"/>
                <w:sz w:val="20"/>
              </w:rPr>
            </w:pPr>
            <w:r>
              <w:rPr>
                <w:rFonts w:ascii="arial" w:hAnsi="arial"/>
                <w:sz w:val="20"/>
              </w:rPr>
              <w:t>Daniel P. Harrington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79"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90"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Chair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436"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440" w:type="dxa"/>
            <w:tcBorders/>
            <w:shd w:fill="F4F0DC" w:val="clear"/>
            <w:vAlign w:val="center"/>
          </w:tcPr>
          <w:p>
            <w:pPr>
              <w:pStyle w:val="TableContents"/>
              <w:bidi w:val="0"/>
              <w:spacing w:before="0" w:after="283"/>
              <w:jc w:val="left"/>
              <w:rPr>
                <w:sz w:val="4"/>
                <w:szCs w:val="4"/>
              </w:rPr>
            </w:pPr>
            <w:r>
              <w:rPr>
                <w:sz w:val="4"/>
                <w:szCs w:val="4"/>
              </w:rPr>
            </w:r>
          </w:p>
        </w:tc>
        <w:tc>
          <w:tcPr>
            <w:tcW w:w="1099"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6"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bottom w:val="single" w:sz="6" w:space="0" w:color="B99C16"/>
            </w:tcBorders>
            <w:shd w:fill="F4F0DC" w:val="clear"/>
            <w:tcMar>
              <w:bottom w:w="28" w:type="dxa"/>
            </w:tcMar>
            <w:vAlign w:val="center"/>
          </w:tcPr>
          <w:p>
            <w:pPr>
              <w:pStyle w:val="TableContents"/>
              <w:bidi w:val="0"/>
              <w:spacing w:lineRule="atLeast" w:line="320" w:before="0" w:after="0"/>
              <w:jc w:val="left"/>
              <w:rPr>
                <w:rFonts w:ascii="arial" w:hAnsi="arial"/>
                <w:sz w:val="20"/>
              </w:rPr>
            </w:pPr>
            <w:r>
              <w:rPr>
                <w:rFonts w:ascii="arial" w:hAnsi="arial"/>
                <w:sz w:val="20"/>
              </w:rPr>
              <w:t>Karole F. Lloyd</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79"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Chair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9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436"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r>
      <w:tr>
        <w:trPr/>
        <w:tc>
          <w:tcPr>
            <w:tcW w:w="2440" w:type="dxa"/>
            <w:tcBorders/>
            <w:shd w:fill="F4F0DC" w:val="clear"/>
            <w:vAlign w:val="center"/>
          </w:tcPr>
          <w:p>
            <w:pPr>
              <w:pStyle w:val="TableContents"/>
              <w:bidi w:val="0"/>
              <w:spacing w:before="0" w:after="283"/>
              <w:jc w:val="left"/>
              <w:rPr>
                <w:sz w:val="4"/>
                <w:szCs w:val="4"/>
              </w:rPr>
            </w:pPr>
            <w:r>
              <w:rPr>
                <w:sz w:val="4"/>
                <w:szCs w:val="4"/>
              </w:rPr>
            </w:r>
          </w:p>
        </w:tc>
        <w:tc>
          <w:tcPr>
            <w:tcW w:w="1099"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6"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bottom w:val="single" w:sz="6" w:space="0" w:color="B99C16"/>
            </w:tcBorders>
            <w:shd w:fill="F4F0DC" w:val="clear"/>
            <w:tcMar>
              <w:bottom w:w="28" w:type="dxa"/>
            </w:tcMar>
            <w:vAlign w:val="center"/>
          </w:tcPr>
          <w:p>
            <w:pPr>
              <w:pStyle w:val="TableContents"/>
              <w:bidi w:val="0"/>
              <w:spacing w:lineRule="atLeast" w:line="320" w:before="0" w:after="0"/>
              <w:jc w:val="left"/>
              <w:rPr>
                <w:rFonts w:ascii="arial" w:hAnsi="arial"/>
                <w:sz w:val="20"/>
              </w:rPr>
            </w:pPr>
            <w:r>
              <w:rPr>
                <w:rFonts w:ascii="arial" w:hAnsi="arial"/>
                <w:sz w:val="20"/>
              </w:rPr>
              <w:t>R. Alex Rankin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79"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Chair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Chair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center"/>
              <w:rPr/>
            </w:pPr>
            <w:r>
              <w:rPr/>
              <w:drawing>
                <wp:inline distT="0" distB="0" distL="0" distR="0">
                  <wp:extent cx="127635" cy="127635"/>
                  <wp:effectExtent l="0" t="0" r="0" b="0"/>
                  <wp:docPr id="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8" descr=""/>
                          <pic:cNvPicPr>
                            <a:picLocks noChangeAspect="1" noChangeArrowheads="1"/>
                          </pic:cNvPicPr>
                        </pic:nvPicPr>
                        <pic:blipFill>
                          <a:blip r:embed="rId49"/>
                          <a:stretch>
                            <a:fillRect/>
                          </a:stretch>
                        </pic:blipFill>
                        <pic:spPr bwMode="auto">
                          <a:xfrm>
                            <a:off x="0" y="0"/>
                            <a:ext cx="127635" cy="127635"/>
                          </a:xfrm>
                          <a:prstGeom prst="rect">
                            <a:avLst/>
                          </a:prstGeom>
                        </pic:spPr>
                      </pic:pic>
                    </a:graphicData>
                  </a:graphic>
                </wp:inline>
              </w:drawing>
            </w:r>
            <w:r>
              <w:rPr/>
              <w:t xml:space="preserve">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90" w:type="dxa"/>
            <w:tcBorders>
              <w:bottom w:val="single" w:sz="6" w:space="0" w:color="B99C16"/>
            </w:tcBorders>
            <w:tcMar>
              <w:bottom w:w="28" w:type="dxa"/>
            </w:tcMar>
            <w:vAlign w:val="center"/>
          </w:tcPr>
          <w:p>
            <w:pPr>
              <w:pStyle w:val="TableContents"/>
              <w:bidi w:val="0"/>
              <w:spacing w:before="0" w:after="283"/>
              <w:jc w:val="center"/>
              <w:rPr/>
            </w:pPr>
            <w:r>
              <w:rPr/>
              <w:drawing>
                <wp:inline distT="0" distB="0" distL="0" distR="0">
                  <wp:extent cx="127635" cy="127635"/>
                  <wp:effectExtent l="0" t="0" r="0" b="0"/>
                  <wp:docPr id="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9" descr=""/>
                          <pic:cNvPicPr>
                            <a:picLocks noChangeAspect="1" noChangeArrowheads="1"/>
                          </pic:cNvPicPr>
                        </pic:nvPicPr>
                        <pic:blipFill>
                          <a:blip r:embed="rId50"/>
                          <a:stretch>
                            <a:fillRect/>
                          </a:stretch>
                        </pic:blipFill>
                        <pic:spPr bwMode="auto">
                          <a:xfrm>
                            <a:off x="0" y="0"/>
                            <a:ext cx="127635" cy="127635"/>
                          </a:xfrm>
                          <a:prstGeom prst="rect">
                            <a:avLst/>
                          </a:prstGeom>
                        </pic:spPr>
                      </pic:pic>
                    </a:graphicData>
                  </a:graphic>
                </wp:inline>
              </w:drawing>
            </w:r>
            <w:r>
              <w:rPr/>
              <w:t xml:space="preserve">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436" w:type="dxa"/>
            <w:tcBorders>
              <w:bottom w:val="single" w:sz="6" w:space="0" w:color="B99C16"/>
            </w:tcBorders>
            <w:tcMar>
              <w:bottom w:w="28" w:type="dxa"/>
            </w:tcMar>
            <w:vAlign w:val="center"/>
          </w:tcPr>
          <w:p>
            <w:pPr>
              <w:pStyle w:val="TableContents"/>
              <w:bidi w:val="0"/>
              <w:spacing w:before="0" w:after="283"/>
              <w:jc w:val="center"/>
              <w:rPr/>
            </w:pPr>
            <w:r>
              <w:rPr/>
              <w:drawing>
                <wp:inline distT="0" distB="0" distL="0" distR="0">
                  <wp:extent cx="127635" cy="127635"/>
                  <wp:effectExtent l="0" t="0" r="0" b="0"/>
                  <wp:docPr id="5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0" descr=""/>
                          <pic:cNvPicPr>
                            <a:picLocks noChangeAspect="1" noChangeArrowheads="1"/>
                          </pic:cNvPicPr>
                        </pic:nvPicPr>
                        <pic:blipFill>
                          <a:blip r:embed="rId51"/>
                          <a:stretch>
                            <a:fillRect/>
                          </a:stretch>
                        </pic:blipFill>
                        <pic:spPr bwMode="auto">
                          <a:xfrm>
                            <a:off x="0" y="0"/>
                            <a:ext cx="127635" cy="127635"/>
                          </a:xfrm>
                          <a:prstGeom prst="rect">
                            <a:avLst/>
                          </a:prstGeom>
                        </pic:spPr>
                      </pic:pic>
                    </a:graphicData>
                  </a:graphic>
                </wp:inline>
              </w:drawing>
            </w:r>
            <w:r>
              <w:rPr/>
              <w:t xml:space="preserve"> </w:t>
            </w:r>
          </w:p>
        </w:tc>
      </w:tr>
      <w:tr>
        <w:trPr/>
        <w:tc>
          <w:tcPr>
            <w:tcW w:w="2440" w:type="dxa"/>
            <w:tcBorders/>
            <w:shd w:fill="F4F0DC" w:val="clear"/>
            <w:vAlign w:val="center"/>
          </w:tcPr>
          <w:p>
            <w:pPr>
              <w:pStyle w:val="TableContents"/>
              <w:bidi w:val="0"/>
              <w:spacing w:before="0" w:after="283"/>
              <w:jc w:val="left"/>
              <w:rPr>
                <w:sz w:val="4"/>
                <w:szCs w:val="4"/>
              </w:rPr>
            </w:pPr>
            <w:r>
              <w:rPr>
                <w:sz w:val="4"/>
                <w:szCs w:val="4"/>
              </w:rPr>
            </w:r>
          </w:p>
        </w:tc>
        <w:tc>
          <w:tcPr>
            <w:tcW w:w="1099"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6"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bottom w:val="single" w:sz="6" w:space="0" w:color="B99C16"/>
            </w:tcBorders>
            <w:shd w:fill="F4F0DC" w:val="clear"/>
            <w:tcMar>
              <w:bottom w:w="28" w:type="dxa"/>
            </w:tcMar>
            <w:vAlign w:val="center"/>
          </w:tcPr>
          <w:p>
            <w:pPr>
              <w:pStyle w:val="TableContents"/>
              <w:bidi w:val="0"/>
              <w:spacing w:lineRule="atLeast" w:line="320" w:before="0" w:after="0"/>
              <w:jc w:val="left"/>
              <w:rPr>
                <w:rFonts w:ascii="arial" w:hAnsi="arial"/>
                <w:sz w:val="20"/>
              </w:rPr>
            </w:pPr>
            <w:r>
              <w:rPr>
                <w:rFonts w:ascii="arial" w:hAnsi="arial"/>
                <w:sz w:val="20"/>
              </w:rPr>
              <w:t>Paul C. Varga</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79"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90"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436"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440" w:type="dxa"/>
            <w:tcBorders/>
            <w:shd w:fill="F4F0DC" w:val="clear"/>
            <w:vAlign w:val="center"/>
          </w:tcPr>
          <w:p>
            <w:pPr>
              <w:pStyle w:val="TableContents"/>
              <w:bidi w:val="0"/>
              <w:spacing w:before="0" w:after="283"/>
              <w:jc w:val="left"/>
              <w:rPr>
                <w:sz w:val="4"/>
                <w:szCs w:val="4"/>
              </w:rPr>
            </w:pPr>
            <w:r>
              <w:rPr>
                <w:sz w:val="4"/>
                <w:szCs w:val="4"/>
              </w:rPr>
            </w:r>
          </w:p>
        </w:tc>
        <w:tc>
          <w:tcPr>
            <w:tcW w:w="1099"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6"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bottom w:val="single" w:sz="6" w:space="0" w:color="B99C16"/>
            </w:tcBorders>
            <w:shd w:fill="F4F0DC" w:val="clear"/>
            <w:tcMar>
              <w:bottom w:w="28" w:type="dxa"/>
            </w:tcMar>
            <w:vAlign w:val="center"/>
          </w:tcPr>
          <w:p>
            <w:pPr>
              <w:pStyle w:val="TableContents"/>
              <w:bidi w:val="0"/>
              <w:spacing w:lineRule="atLeast" w:line="320" w:before="0" w:after="0"/>
              <w:jc w:val="left"/>
              <w:rPr>
                <w:rFonts w:ascii="arial" w:hAnsi="arial"/>
                <w:sz w:val="20"/>
              </w:rPr>
            </w:pPr>
            <w:r>
              <w:rPr>
                <w:rFonts w:ascii="arial" w:hAnsi="arial"/>
                <w:sz w:val="20"/>
              </w:rPr>
              <w:t>Andréa Carter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79"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90"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436" w:type="dxa"/>
            <w:tcBorders>
              <w:bottom w:val="single" w:sz="6" w:space="0" w:color="B99C16"/>
            </w:tcBorders>
            <w:tcMar>
              <w:bottom w:w="28" w:type="dxa"/>
            </w:tcMar>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Member</w:t>
            </w:r>
          </w:p>
        </w:tc>
      </w:tr>
      <w:tr>
        <w:trPr/>
        <w:tc>
          <w:tcPr>
            <w:tcW w:w="2440" w:type="dxa"/>
            <w:tcBorders/>
            <w:shd w:fill="F4F0DC" w:val="clear"/>
            <w:vAlign w:val="center"/>
          </w:tcPr>
          <w:p>
            <w:pPr>
              <w:pStyle w:val="TableContents"/>
              <w:bidi w:val="0"/>
              <w:spacing w:before="0" w:after="283"/>
              <w:jc w:val="left"/>
              <w:rPr>
                <w:sz w:val="4"/>
                <w:szCs w:val="4"/>
              </w:rPr>
            </w:pPr>
            <w:r>
              <w:rPr>
                <w:sz w:val="4"/>
                <w:szCs w:val="4"/>
              </w:rPr>
            </w:r>
          </w:p>
        </w:tc>
        <w:tc>
          <w:tcPr>
            <w:tcW w:w="1099"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6" w:type="dxa"/>
            <w:gridSpan w:val="2"/>
            <w:tcBorders/>
            <w:vAlign w:val="center"/>
          </w:tcPr>
          <w:p>
            <w:pPr>
              <w:pStyle w:val="TableContents"/>
              <w:bidi w:val="0"/>
              <w:spacing w:before="0" w:after="283"/>
              <w:jc w:val="left"/>
              <w:rPr>
                <w:sz w:val="4"/>
                <w:szCs w:val="4"/>
              </w:rPr>
            </w:pPr>
            <w:r>
              <w:rPr>
                <w:sz w:val="4"/>
                <w:szCs w:val="4"/>
              </w:rPr>
            </w:r>
          </w:p>
        </w:tc>
      </w:tr>
      <w:tr>
        <w:trPr/>
        <w:tc>
          <w:tcPr>
            <w:tcW w:w="2440" w:type="dxa"/>
            <w:tcBorders/>
            <w:shd w:fill="F4F0DC" w:val="clear"/>
            <w:vAlign w:val="center"/>
          </w:tcPr>
          <w:p>
            <w:pPr>
              <w:pStyle w:val="TableContents"/>
              <w:bidi w:val="0"/>
              <w:spacing w:lineRule="atLeast" w:line="320" w:before="0" w:after="0"/>
              <w:jc w:val="left"/>
              <w:rPr>
                <w:rFonts w:ascii="arial" w:hAnsi="arial"/>
                <w:sz w:val="20"/>
              </w:rPr>
            </w:pPr>
            <w:r>
              <w:rPr>
                <w:rFonts w:ascii="arial" w:hAnsi="arial"/>
                <w:sz w:val="20"/>
              </w:rPr>
              <w:t>Number of meetings in 2025</w:t>
            </w:r>
          </w:p>
        </w:tc>
        <w:tc>
          <w:tcPr>
            <w:tcW w:w="12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7</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0</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4</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4</w:t>
            </w:r>
          </w:p>
        </w:tc>
        <w:tc>
          <w:tcPr>
            <w:tcW w:w="120" w:type="dxa"/>
            <w:tcBorders/>
            <w:vAlign w:val="center"/>
          </w:tcPr>
          <w:p>
            <w:pPr>
              <w:pStyle w:val="TableContents"/>
              <w:bidi w:val="0"/>
              <w:spacing w:before="0" w:after="283"/>
              <w:jc w:val="left"/>
              <w:rPr/>
            </w:pPr>
            <w:r>
              <w:rPr/>
              <w:t>  </w:t>
            </w:r>
          </w:p>
        </w:tc>
        <w:tc>
          <w:tcPr>
            <w:tcW w:w="2436" w:type="dxa"/>
            <w:tcBorders/>
            <w:vAlign w:val="center"/>
          </w:tcPr>
          <w:p>
            <w:pPr>
              <w:pStyle w:val="TableContents"/>
              <w:bidi w:val="0"/>
              <w:spacing w:lineRule="atLeast" w:line="320" w:before="0" w:after="0"/>
              <w:jc w:val="center"/>
              <w:rPr>
                <w:rFonts w:ascii="arial" w:hAnsi="arial"/>
                <w:b/>
                <w:color w:val="004876"/>
                <w:sz w:val="20"/>
              </w:rPr>
            </w:pPr>
            <w:r>
              <w:rPr>
                <w:rFonts w:ascii="arial" w:hAnsi="arial"/>
                <w:b/>
                <w:color w:val="004876"/>
                <w:sz w:val="20"/>
              </w:rPr>
              <w:t>3</w:t>
            </w:r>
          </w:p>
        </w:tc>
      </w:tr>
      <w:tr>
        <w:trPr/>
        <w:tc>
          <w:tcPr>
            <w:tcW w:w="244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979"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113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113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149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2436" w:type="dxa"/>
            <w:tcBorders>
              <w:bottom w:val="single" w:sz="8" w:space="0" w:color="B99C16"/>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401" w:type="dxa"/>
        <w:jc w:val="left"/>
        <w:tblInd w:w="0" w:type="dxa"/>
        <w:tblLayout w:type="fixed"/>
        <w:tblCellMar>
          <w:top w:w="0" w:type="dxa"/>
          <w:left w:w="0" w:type="dxa"/>
          <w:bottom w:w="0" w:type="dxa"/>
          <w:right w:w="0" w:type="dxa"/>
        </w:tblCellMar>
      </w:tblPr>
      <w:tblGrid>
        <w:gridCol w:w="276"/>
        <w:gridCol w:w="60"/>
        <w:gridCol w:w="155"/>
        <w:gridCol w:w="60"/>
        <w:gridCol w:w="1850"/>
      </w:tblGrid>
      <w:tr>
        <w:trPr/>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215" w:type="dxa"/>
            <w:gridSpan w:val="2"/>
            <w:tcBorders/>
            <w:vAlign w:val="center"/>
          </w:tcPr>
          <w:p>
            <w:pPr>
              <w:pStyle w:val="TableContents"/>
              <w:bidi w:val="0"/>
              <w:spacing w:before="0" w:after="283"/>
              <w:jc w:val="left"/>
              <w:rPr>
                <w:sz w:val="4"/>
                <w:szCs w:val="4"/>
              </w:rPr>
            </w:pPr>
            <w:r>
              <w:rPr>
                <w:sz w:val="4"/>
                <w:szCs w:val="4"/>
              </w:rPr>
            </w:r>
          </w:p>
        </w:tc>
        <w:tc>
          <w:tcPr>
            <w:tcW w:w="1910"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center"/>
              <w:rPr/>
            </w:pPr>
            <w:r>
              <w:rPr/>
              <w:drawing>
                <wp:inline distT="0" distB="0" distL="0" distR="0">
                  <wp:extent cx="127635" cy="127635"/>
                  <wp:effectExtent l="0" t="0" r="0" b="0"/>
                  <wp:docPr id="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1" descr=""/>
                          <pic:cNvPicPr>
                            <a:picLocks noChangeAspect="1" noChangeArrowheads="1"/>
                          </pic:cNvPicPr>
                        </pic:nvPicPr>
                        <pic:blipFill>
                          <a:blip r:embed="rId52"/>
                          <a:stretch>
                            <a:fillRect/>
                          </a:stretch>
                        </pic:blipFill>
                        <pic:spPr bwMode="auto">
                          <a:xfrm>
                            <a:off x="0" y="0"/>
                            <a:ext cx="127635" cy="1276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Ex-officio Member</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16</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2" descr=""/>
                          <pic:cNvPicPr>
                            <a:picLocks noChangeAspect="1" noChangeArrowheads="1"/>
                          </pic:cNvPicPr>
                        </pic:nvPicPr>
                        <pic:blipFill>
                          <a:blip r:embed="rId53"/>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Corporate Governance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B99C16"/>
          <w:sz w:val="28"/>
        </w:rPr>
      </w:pPr>
      <w:bookmarkStart w:id="22" w:name="toc123994_20"/>
      <w:bookmarkEnd w:id="22"/>
      <w:r>
        <w:rPr>
          <w:rFonts w:ascii="arial" w:hAnsi="arial"/>
          <w:b/>
          <w:color w:val="B99C16"/>
          <w:sz w:val="28"/>
        </w:rPr>
        <w:t>E</w:t>
      </w:r>
      <w:r>
        <w:rPr>
          <w:rFonts w:ascii="arial" w:hAnsi="arial"/>
          <w:b/>
          <w:color w:val="B99C16"/>
          <w:sz w:val="20"/>
          <w:u w:val="single"/>
        </w:rPr>
        <w:t>XECUTIVE</w:t>
      </w:r>
      <w:r>
        <w:rPr>
          <w:rFonts w:ascii="arial" w:hAnsi="arial"/>
          <w:b/>
          <w:color w:val="B99C16"/>
          <w:sz w:val="28"/>
        </w:rPr>
        <w:t xml:space="preserve"> C</w:t>
      </w:r>
      <w:r>
        <w:rPr>
          <w:rFonts w:ascii="arial" w:hAnsi="arial"/>
          <w:b/>
          <w:color w:val="B99C16"/>
          <w:sz w:val="20"/>
          <w:u w:val="single"/>
        </w:rPr>
        <w:t>OMMITTEE</w:t>
      </w:r>
      <w:r>
        <w:rPr>
          <w:rFonts w:ascii="arial" w:hAnsi="arial"/>
          <w:b/>
          <w:color w:val="B99C16"/>
          <w:sz w:val="28"/>
        </w:rPr>
        <w:t xml:space="preserve"> </w:t>
      </w:r>
    </w:p>
    <w:p>
      <w:pPr>
        <w:pStyle w:val="TextBody"/>
        <w:bidi w:val="0"/>
        <w:spacing w:before="240" w:after="0"/>
        <w:jc w:val="left"/>
        <w:rPr>
          <w:rFonts w:ascii="arial" w:hAnsi="arial"/>
          <w:sz w:val="20"/>
        </w:rPr>
      </w:pPr>
      <w:r>
        <w:rPr>
          <w:rFonts w:ascii="arial" w:hAnsi="arial"/>
          <w:sz w:val="20"/>
        </w:rPr>
        <w:t xml:space="preserve">The Executive Committee is authorized, subject to certain limitations set forth in the Company’s Amended and Restated Bylaws, to exercise the authority of the Board of Directors between Board meetings. The Executive Committee does not meet on a regular basis, but instead meets as and when needed. </w:t>
      </w:r>
    </w:p>
    <w:p>
      <w:pPr>
        <w:pStyle w:val="TextBody"/>
        <w:bidi w:val="0"/>
        <w:spacing w:before="360" w:after="0"/>
        <w:jc w:val="left"/>
        <w:rPr>
          <w:rFonts w:ascii="arial" w:hAnsi="arial"/>
          <w:b/>
          <w:color w:val="B99C16"/>
          <w:sz w:val="28"/>
        </w:rPr>
      </w:pPr>
      <w:bookmarkStart w:id="23" w:name="toc123994_21"/>
      <w:bookmarkEnd w:id="23"/>
      <w:r>
        <w:rPr>
          <w:rFonts w:ascii="arial" w:hAnsi="arial"/>
          <w:b/>
          <w:color w:val="B99C16"/>
          <w:sz w:val="28"/>
        </w:rPr>
        <w:t>A</w:t>
      </w:r>
      <w:r>
        <w:rPr>
          <w:rFonts w:ascii="arial" w:hAnsi="arial"/>
          <w:b/>
          <w:color w:val="B99C16"/>
          <w:sz w:val="20"/>
          <w:u w:val="single"/>
        </w:rPr>
        <w:t>UDIT</w:t>
      </w:r>
      <w:r>
        <w:rPr>
          <w:rFonts w:ascii="arial" w:hAnsi="arial"/>
          <w:b/>
          <w:color w:val="B99C16"/>
          <w:sz w:val="28"/>
        </w:rPr>
        <w:t xml:space="preserve"> C</w:t>
      </w:r>
      <w:r>
        <w:rPr>
          <w:rFonts w:ascii="arial" w:hAnsi="arial"/>
          <w:b/>
          <w:color w:val="B99C16"/>
          <w:sz w:val="20"/>
          <w:u w:val="single"/>
        </w:rPr>
        <w:t>OMMITTEE</w:t>
      </w:r>
      <w:r>
        <w:rPr>
          <w:rFonts w:ascii="arial" w:hAnsi="arial"/>
          <w:b/>
          <w:color w:val="B99C16"/>
          <w:sz w:val="28"/>
        </w:rPr>
        <w:t xml:space="preserve"> </w:t>
      </w:r>
    </w:p>
    <w:p>
      <w:pPr>
        <w:pStyle w:val="TextBody"/>
        <w:bidi w:val="0"/>
        <w:spacing w:before="240" w:after="0"/>
        <w:jc w:val="left"/>
        <w:rPr>
          <w:rFonts w:ascii="arial" w:hAnsi="arial"/>
          <w:sz w:val="20"/>
        </w:rPr>
      </w:pPr>
      <w:r>
        <w:rPr>
          <w:rFonts w:ascii="arial" w:hAnsi="arial"/>
          <w:sz w:val="20"/>
        </w:rPr>
        <w:t xml:space="preserve">The primary purposes of the Audit Committee are to assist the Board of Directors in fulfilling its responsibility in monitoring management’s conduct of the Company’s financial reporting process and overseeing the Company’s risk assessment and risk management practices. The Audit Committee is generally responsible for monitoring the integrity of the financial reporting process, systems of internal controls and financial statements and other financial reports provided by the Company to any governmental or regulatory body, the public or other users thereof, as well as overseeing the processes by which management assesses the Company’s exposure to cybersecurity and other risks and evaluating the guidelines and policies governing the Company’s monitoring, control and minimization of such exposures. </w:t>
      </w:r>
    </w:p>
    <w:p>
      <w:pPr>
        <w:pStyle w:val="TextBody"/>
        <w:bidi w:val="0"/>
        <w:spacing w:before="240" w:after="0"/>
        <w:jc w:val="left"/>
        <w:rPr>
          <w:rFonts w:ascii="arial" w:hAnsi="arial"/>
          <w:sz w:val="20"/>
        </w:rPr>
      </w:pPr>
      <w:r>
        <w:rPr>
          <w:rFonts w:ascii="arial" w:hAnsi="arial"/>
          <w:sz w:val="20"/>
        </w:rPr>
        <w:t xml:space="preserve">The Audit Committee’s responsibilities are as follows, among others: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185"/>
        <w:gridCol w:w="6065"/>
      </w:tblGrid>
      <w:tr>
        <w:trPr/>
        <w:tc>
          <w:tcPr>
            <w:tcW w:w="185" w:type="dxa"/>
            <w:tcBorders/>
            <w:vAlign w:val="center"/>
          </w:tcPr>
          <w:p>
            <w:pPr>
              <w:pStyle w:val="TableContents"/>
              <w:bidi w:val="0"/>
              <w:spacing w:before="0" w:after="283"/>
              <w:jc w:val="left"/>
              <w:rPr>
                <w:color w:val="004876"/>
              </w:rPr>
            </w:pPr>
            <w:r>
              <w:rPr>
                <w:color w:val="004876"/>
              </w:rPr>
              <w:t>●</w:t>
            </w:r>
          </w:p>
        </w:tc>
        <w:tc>
          <w:tcPr>
            <w:tcW w:w="6065" w:type="dxa"/>
            <w:tcBorders/>
            <w:vAlign w:val="center"/>
          </w:tcPr>
          <w:p>
            <w:pPr>
              <w:pStyle w:val="TableContents"/>
              <w:bidi w:val="0"/>
              <w:spacing w:before="0" w:after="0"/>
              <w:jc w:val="left"/>
              <w:rPr>
                <w:rFonts w:ascii="arial" w:hAnsi="arial"/>
                <w:sz w:val="20"/>
              </w:rPr>
            </w:pPr>
            <w:r>
              <w:rPr>
                <w:rFonts w:ascii="arial" w:hAnsi="arial"/>
                <w:sz w:val="20"/>
              </w:rPr>
              <w:t xml:space="preserve">To monitor the performance of the Company’s internal audit function.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appoint, remove, compensate, retain and oversee the independent registered public accounting firm engaged by the Company for the purpose of preparing or issuing audit opinions on the Company’s financial statements and its internal control over financial reporting.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monitor the Company’s compliance with legal and regulatory requirements as well as the Company’s Code of Conduct and compliance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consider the effectiveness of the company’s internal control system including information technology security and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inquire of management, including its internal auditor, and the Company’s independent auditors regarding significant risks or exposures, including those related to fraudulent activities, facing the Company; to assess the steps management has taken or proposes to take to minimize such risks to the Company; and to periodically review compliance with such steps.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In discharging its oversight role, to investigate any matter brought to its attention with full access to all books, records, facilities and personnel of the Company and to retain outside counsel, auditors or other experts for this purpose.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assist the Board in overseeing the Company’s enterprise risk management process, including reviewing risks relating to cybersecurity as well as major legislative and regulatory developments that could materially impact the Company’s risk.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185"/>
        <w:gridCol w:w="6185"/>
      </w:tblGrid>
      <w:tr>
        <w:trPr/>
        <w:tc>
          <w:tcPr>
            <w:tcW w:w="185" w:type="dxa"/>
            <w:tcBorders/>
            <w:vAlign w:val="center"/>
          </w:tcPr>
          <w:p>
            <w:pPr>
              <w:pStyle w:val="TableContents"/>
              <w:bidi w:val="0"/>
              <w:spacing w:before="0" w:after="283"/>
              <w:jc w:val="left"/>
              <w:rPr>
                <w:color w:val="004876"/>
              </w:rPr>
            </w:pPr>
            <w:r>
              <w:rPr>
                <w:color w:val="004876"/>
              </w:rPr>
              <w:t>●</w:t>
            </w:r>
          </w:p>
        </w:tc>
        <w:tc>
          <w:tcPr>
            <w:tcW w:w="6185" w:type="dxa"/>
            <w:tcBorders/>
            <w:vAlign w:val="center"/>
          </w:tcPr>
          <w:p>
            <w:pPr>
              <w:pStyle w:val="TableContents"/>
              <w:bidi w:val="0"/>
              <w:spacing w:before="0" w:after="0"/>
              <w:jc w:val="left"/>
              <w:rPr>
                <w:rFonts w:ascii="arial" w:hAnsi="arial"/>
                <w:sz w:val="20"/>
              </w:rPr>
            </w:pPr>
            <w:r>
              <w:rPr>
                <w:rFonts w:ascii="arial" w:hAnsi="arial"/>
                <w:sz w:val="20"/>
              </w:rPr>
              <w:t xml:space="preserve">To conduct an annual performance evaluation of the Audit Committee. </w:t>
            </w:r>
          </w:p>
        </w:tc>
      </w:tr>
    </w:tbl>
    <w:p>
      <w:pPr>
        <w:pStyle w:val="TextBody"/>
        <w:bidi w:val="0"/>
        <w:spacing w:before="240" w:after="0"/>
        <w:jc w:val="left"/>
        <w:rPr>
          <w:rFonts w:ascii="arial" w:hAnsi="arial"/>
          <w:sz w:val="20"/>
        </w:rPr>
      </w:pPr>
      <w:r>
        <w:rPr>
          <w:rFonts w:ascii="arial" w:hAnsi="arial"/>
          <w:sz w:val="20"/>
        </w:rPr>
        <w:t xml:space="preserve">The Audit Committee of the Board of Directors operates under a written charter which is reviewed annually and the Company’s Board of Directors has determined that all members of the Company’s Audit Committee are independent as defined under Nasdaq Rule 5605(a)(2) and Rule 10A-3(b)(1) under the Exchange Act. </w:t>
      </w:r>
    </w:p>
    <w:p>
      <w:pPr>
        <w:pStyle w:val="TextBody"/>
        <w:bidi w:val="0"/>
        <w:spacing w:before="240" w:after="0"/>
        <w:jc w:val="left"/>
        <w:rPr>
          <w:rFonts w:ascii="arial" w:hAnsi="arial"/>
          <w:sz w:val="20"/>
        </w:rPr>
      </w:pPr>
      <w:r>
        <w:rPr>
          <w:rFonts w:ascii="arial" w:hAnsi="arial"/>
          <w:sz w:val="20"/>
        </w:rPr>
        <w:t xml:space="preserve">The Board of Directors has determined that Daniel P. Harrington and Karole F. Lloyd are “audit committee financial experts” as defined by regulations promulgated by the SEC. </w:t>
      </w:r>
    </w:p>
    <w:p>
      <w:pPr>
        <w:pStyle w:val="TextBody"/>
        <w:bidi w:val="0"/>
        <w:spacing w:before="360" w:after="0"/>
        <w:jc w:val="left"/>
        <w:rPr>
          <w:rFonts w:ascii="arial" w:hAnsi="arial"/>
          <w:b/>
          <w:color w:val="B99C16"/>
          <w:sz w:val="28"/>
        </w:rPr>
      </w:pPr>
      <w:bookmarkStart w:id="24" w:name="toc123994_22"/>
      <w:bookmarkEnd w:id="24"/>
      <w:r>
        <w:rPr>
          <w:rFonts w:ascii="arial" w:hAnsi="arial"/>
          <w:b/>
          <w:color w:val="B99C16"/>
          <w:sz w:val="28"/>
        </w:rPr>
        <w:t>C</w:t>
      </w:r>
      <w:r>
        <w:rPr>
          <w:rFonts w:ascii="arial" w:hAnsi="arial"/>
          <w:b/>
          <w:color w:val="B99C16"/>
          <w:sz w:val="20"/>
          <w:u w:val="single"/>
        </w:rPr>
        <w:t>OMPENSATION</w:t>
      </w:r>
      <w:r>
        <w:rPr>
          <w:rFonts w:ascii="arial" w:hAnsi="arial"/>
          <w:b/>
          <w:color w:val="B99C16"/>
          <w:sz w:val="28"/>
        </w:rPr>
        <w:t xml:space="preserve"> C</w:t>
      </w:r>
      <w:r>
        <w:rPr>
          <w:rFonts w:ascii="arial" w:hAnsi="arial"/>
          <w:b/>
          <w:color w:val="B99C16"/>
          <w:sz w:val="20"/>
          <w:u w:val="single"/>
        </w:rPr>
        <w:t>OMMITTEE</w:t>
      </w:r>
      <w:r>
        <w:rPr>
          <w:rFonts w:ascii="arial" w:hAnsi="arial"/>
          <w:b/>
          <w:color w:val="B99C16"/>
          <w:sz w:val="28"/>
        </w:rPr>
        <w:t xml:space="preserve"> </w:t>
      </w:r>
    </w:p>
    <w:p>
      <w:pPr>
        <w:pStyle w:val="TextBody"/>
        <w:bidi w:val="0"/>
        <w:spacing w:before="240" w:after="0"/>
        <w:jc w:val="left"/>
        <w:rPr>
          <w:rFonts w:ascii="arial" w:hAnsi="arial"/>
          <w:b/>
          <w:color w:val="004876"/>
          <w:sz w:val="20"/>
        </w:rPr>
      </w:pPr>
      <w:bookmarkStart w:id="25" w:name="toc123994_23"/>
      <w:bookmarkEnd w:id="25"/>
      <w:r>
        <w:rPr>
          <w:rFonts w:ascii="arial" w:hAnsi="arial"/>
          <w:b/>
          <w:color w:val="004876"/>
          <w:sz w:val="20"/>
        </w:rPr>
        <w:t xml:space="preserve">Responsibilities of the Compensation Committee </w:t>
      </w:r>
    </w:p>
    <w:p>
      <w:pPr>
        <w:pStyle w:val="TextBody"/>
        <w:bidi w:val="0"/>
        <w:spacing w:before="120" w:after="0"/>
        <w:jc w:val="left"/>
        <w:rPr>
          <w:rFonts w:ascii="arial" w:hAnsi="arial"/>
          <w:sz w:val="20"/>
        </w:rPr>
      </w:pPr>
      <w:r>
        <w:rPr>
          <w:rFonts w:ascii="arial" w:hAnsi="arial"/>
          <w:sz w:val="20"/>
        </w:rPr>
        <w:t xml:space="preserve">The Board established the Compensation Committee to assist it in discharging the Board’s responsibilities relating to compensation of the CEO, each of the Company’s other executive officers, and the Company’s non-employee directors. The Compensation Committee has overall responsibility for decisions relating to all compensation plans, policies and perquisites as they affect the CEO and other executive officers and may form and delegate authority to subcommittees when it deems appropriate.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3" descr=""/>
                          <pic:cNvPicPr>
                            <a:picLocks noChangeAspect="1" noChangeArrowheads="1"/>
                          </pic:cNvPicPr>
                        </pic:nvPicPr>
                        <pic:blipFill>
                          <a:blip r:embed="rId54"/>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Corporate Governance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Compensation Committee’s responsibilities are as follows,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oversee the development and implementation of the Company’s compensation policies and programs for executive officers, including the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establish the annual goals and objectives relevant to the compensation of the CEO and the executive officers and to present such to the Board annually.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evaluate the performance of the CEO and other executive officers in light of the agreed-upon goals and objectives and to determine and approve the compensation level of the CEO, including the balance of the components of total compensation, based on such evaluation and to present its report to the Board annually.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develop guidelines for the compensation and performance of the Company’s executive officers and to determine and approve the compensation of the Company’s executive officers, including the balance of the components of total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establish appropriate performance targets, participation and levels of awards with respect to the Company’s incentive compensation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administer the Company’s equity-based compensation plans, including the establishment of criteria for the granting of stock-based awards and the review and approval of such grants in accordance with the criteria.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review and approve hiring, retention and termination agreements and/or deferred compensation arrangements with the Company’s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establish and periodically review Company policies relating to senior management perquisites and other non-cash benefits.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review periodically the operation of the Company’s overall compensation program for key employees and evaluate its effectiveness in promoting shareholder value and Company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review the results of any advisory shareholder votes on executive compensation and consider whether to recommend adjustments to the Company’s compensation policies and programs as a result of such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consider, at least annually, whether risks arising from the Company’s compensation policies and practices for all employees, including non-executive officers, are reasonably likely to have a material adverse effect on the Company, including whether the Company’s incentive compensation arrangements encourage excessive or inappropriate risk-taking.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185"/>
        <w:gridCol w:w="9050"/>
      </w:tblGrid>
      <w:tr>
        <w:trPr/>
        <w:tc>
          <w:tcPr>
            <w:tcW w:w="185" w:type="dxa"/>
            <w:tcBorders/>
            <w:vAlign w:val="center"/>
          </w:tcPr>
          <w:p>
            <w:pPr>
              <w:pStyle w:val="TableContents"/>
              <w:bidi w:val="0"/>
              <w:spacing w:before="0" w:after="283"/>
              <w:jc w:val="left"/>
              <w:rPr>
                <w:color w:val="004876"/>
              </w:rPr>
            </w:pPr>
            <w:r>
              <w:rPr>
                <w:color w:val="004876"/>
              </w:rPr>
              <w:t>●</w:t>
            </w:r>
          </w:p>
        </w:tc>
        <w:tc>
          <w:tcPr>
            <w:tcW w:w="9050" w:type="dxa"/>
            <w:tcBorders/>
            <w:vAlign w:val="center"/>
          </w:tcPr>
          <w:p>
            <w:pPr>
              <w:pStyle w:val="TableContents"/>
              <w:bidi w:val="0"/>
              <w:spacing w:before="0" w:after="0"/>
              <w:jc w:val="left"/>
              <w:rPr>
                <w:rFonts w:ascii="arial" w:hAnsi="arial"/>
                <w:sz w:val="20"/>
              </w:rPr>
            </w:pPr>
            <w:r>
              <w:rPr>
                <w:rFonts w:ascii="arial" w:hAnsi="arial"/>
                <w:sz w:val="20"/>
              </w:rPr>
              <w:t xml:space="preserve">To approve any compensation “clawback” policy required by law or otherwise adopted by the Company. </w:t>
            </w:r>
          </w:p>
        </w:tc>
      </w:tr>
    </w:tbl>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185"/>
        <w:gridCol w:w="8840"/>
      </w:tblGrid>
      <w:tr>
        <w:trPr/>
        <w:tc>
          <w:tcPr>
            <w:tcW w:w="185" w:type="dxa"/>
            <w:tcBorders/>
            <w:vAlign w:val="center"/>
          </w:tcPr>
          <w:p>
            <w:pPr>
              <w:pStyle w:val="TableContents"/>
              <w:bidi w:val="0"/>
              <w:spacing w:before="0" w:after="283"/>
              <w:jc w:val="left"/>
              <w:rPr>
                <w:color w:val="004876"/>
              </w:rPr>
            </w:pPr>
            <w:r>
              <w:rPr>
                <w:color w:val="004876"/>
              </w:rPr>
              <w:t>●</w:t>
            </w:r>
          </w:p>
        </w:tc>
        <w:tc>
          <w:tcPr>
            <w:tcW w:w="8840" w:type="dxa"/>
            <w:tcBorders/>
            <w:vAlign w:val="center"/>
          </w:tcPr>
          <w:p>
            <w:pPr>
              <w:pStyle w:val="TableContents"/>
              <w:bidi w:val="0"/>
              <w:spacing w:before="0" w:after="0"/>
              <w:jc w:val="left"/>
              <w:rPr>
                <w:rFonts w:ascii="arial" w:hAnsi="arial"/>
                <w:sz w:val="20"/>
              </w:rPr>
            </w:pPr>
            <w:r>
              <w:rPr>
                <w:rFonts w:ascii="arial" w:hAnsi="arial"/>
                <w:sz w:val="20"/>
              </w:rPr>
              <w:t xml:space="preserve">To oversee regulatory compliance with respect to matters relating to executive officer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approve plans for managerial development and succession within the Company and to present such plans to the Board annually.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periodically review the Company’s key human capital management strategies, policies, programs and practices, including those relating to diversity, equity and inclusion, employee engagement and talent recruitment, development and retention.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185"/>
        <w:gridCol w:w="8990"/>
      </w:tblGrid>
      <w:tr>
        <w:trPr/>
        <w:tc>
          <w:tcPr>
            <w:tcW w:w="185" w:type="dxa"/>
            <w:tcBorders/>
            <w:vAlign w:val="center"/>
          </w:tcPr>
          <w:p>
            <w:pPr>
              <w:pStyle w:val="TableContents"/>
              <w:bidi w:val="0"/>
              <w:spacing w:before="0" w:after="283"/>
              <w:jc w:val="left"/>
              <w:rPr>
                <w:color w:val="004876"/>
              </w:rPr>
            </w:pPr>
            <w:r>
              <w:rPr>
                <w:color w:val="004876"/>
              </w:rPr>
              <w:t>●</w:t>
            </w:r>
          </w:p>
        </w:tc>
        <w:tc>
          <w:tcPr>
            <w:tcW w:w="8990" w:type="dxa"/>
            <w:tcBorders/>
            <w:vAlign w:val="center"/>
          </w:tcPr>
          <w:p>
            <w:pPr>
              <w:pStyle w:val="TableContents"/>
              <w:bidi w:val="0"/>
              <w:spacing w:before="0" w:after="0"/>
              <w:jc w:val="left"/>
              <w:rPr>
                <w:rFonts w:ascii="arial" w:hAnsi="arial"/>
                <w:sz w:val="20"/>
              </w:rPr>
            </w:pPr>
            <w:r>
              <w:rPr>
                <w:rFonts w:ascii="arial" w:hAnsi="arial"/>
                <w:sz w:val="20"/>
              </w:rPr>
              <w:t xml:space="preserve">To review, assess and recommend to the Board appropriate compensation for non-employee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oversee the production of and approve the report on executive compensation to be included in the Company’s proxy statement for the annual meeting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review and discuss with management the compensation discussion and analysis, and based on such discussion, make a recommendation to the Board as to whether or not the compensation discussion and analysis should be included in the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To review and reassess the adequacy of its charter annually and recommend any proposed changes to the Board for approval. </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185"/>
        <w:gridCol w:w="6980"/>
      </w:tblGrid>
      <w:tr>
        <w:trPr/>
        <w:tc>
          <w:tcPr>
            <w:tcW w:w="185" w:type="dxa"/>
            <w:tcBorders/>
            <w:vAlign w:val="center"/>
          </w:tcPr>
          <w:p>
            <w:pPr>
              <w:pStyle w:val="TableContents"/>
              <w:bidi w:val="0"/>
              <w:spacing w:before="0" w:after="283"/>
              <w:jc w:val="left"/>
              <w:rPr>
                <w:color w:val="004876"/>
              </w:rPr>
            </w:pPr>
            <w:r>
              <w:rPr>
                <w:color w:val="004876"/>
              </w:rPr>
              <w:t>●</w:t>
            </w:r>
          </w:p>
        </w:tc>
        <w:tc>
          <w:tcPr>
            <w:tcW w:w="6980" w:type="dxa"/>
            <w:tcBorders/>
            <w:vAlign w:val="center"/>
          </w:tcPr>
          <w:p>
            <w:pPr>
              <w:pStyle w:val="TableContents"/>
              <w:bidi w:val="0"/>
              <w:spacing w:before="0" w:after="0"/>
              <w:jc w:val="left"/>
              <w:rPr>
                <w:rFonts w:ascii="arial" w:hAnsi="arial"/>
                <w:sz w:val="20"/>
              </w:rPr>
            </w:pPr>
            <w:r>
              <w:rPr>
                <w:rFonts w:ascii="arial" w:hAnsi="arial"/>
                <w:sz w:val="20"/>
              </w:rPr>
              <w:t xml:space="preserve">To conduct an annual performance evaluation of the Compensation Committee. </w:t>
            </w:r>
          </w:p>
        </w:tc>
      </w:tr>
    </w:tbl>
    <w:p>
      <w:pPr>
        <w:pStyle w:val="TextBody"/>
        <w:bidi w:val="0"/>
        <w:spacing w:before="240" w:after="0"/>
        <w:jc w:val="left"/>
        <w:rPr>
          <w:rFonts w:ascii="arial" w:hAnsi="arial"/>
          <w:sz w:val="20"/>
        </w:rPr>
      </w:pPr>
      <w:r>
        <w:rPr>
          <w:rFonts w:ascii="arial" w:hAnsi="arial"/>
          <w:sz w:val="20"/>
        </w:rPr>
        <w:t xml:space="preserve">The Compensation Committee of the Board of Directors operates under a written charter which is reviewed annually and is comprised entirely of directors meeting the independence requirements of Nasdaq and Rule 10C-1(b)(1) under the Exchange Act.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18</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5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4" descr=""/>
                          <pic:cNvPicPr>
                            <a:picLocks noChangeAspect="1" noChangeArrowheads="1"/>
                          </pic:cNvPicPr>
                        </pic:nvPicPr>
                        <pic:blipFill>
                          <a:blip r:embed="rId55"/>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Corporate Governance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004876"/>
          <w:sz w:val="20"/>
        </w:rPr>
      </w:pPr>
      <w:bookmarkStart w:id="26" w:name="toc123994_24"/>
      <w:bookmarkEnd w:id="26"/>
      <w:r>
        <w:rPr>
          <w:rFonts w:ascii="arial" w:hAnsi="arial"/>
          <w:b/>
          <w:color w:val="004876"/>
          <w:sz w:val="20"/>
        </w:rPr>
        <w:t xml:space="preserve">Compensation Committee Interlocks and Insider Participation </w:t>
      </w:r>
    </w:p>
    <w:p>
      <w:pPr>
        <w:pStyle w:val="TextBody"/>
        <w:bidi w:val="0"/>
        <w:spacing w:before="120" w:after="0"/>
        <w:jc w:val="left"/>
        <w:rPr>
          <w:rFonts w:ascii="arial" w:hAnsi="arial"/>
          <w:sz w:val="20"/>
        </w:rPr>
      </w:pPr>
      <w:r>
        <w:rPr>
          <w:rFonts w:ascii="arial" w:hAnsi="arial"/>
          <w:sz w:val="20"/>
        </w:rPr>
        <w:t xml:space="preserve">None of the directors who served on the Compensation Committee at any time during the last fiscal year were officers or employees of the Company or were former officers of the Company. None of the members who served on the Compensation Committee at any time during fiscal 2025 had any relationship with the Company requiring disclosure under Item 404 of Regulation S-K. Finally, no executive officer of the Company serves, or in the past fiscal year has served, as a director or member of the compensation committee (or other board committee performing equivalent functions) of any entity that has one or more of its executive officers serving on the Board of Directors or the Compensation Committee. </w:t>
      </w:r>
    </w:p>
    <w:p>
      <w:pPr>
        <w:pStyle w:val="TextBody"/>
        <w:bidi w:val="0"/>
        <w:spacing w:before="360" w:after="0"/>
        <w:jc w:val="left"/>
        <w:rPr>
          <w:rFonts w:ascii="arial" w:hAnsi="arial"/>
          <w:b/>
          <w:color w:val="004876"/>
          <w:sz w:val="20"/>
        </w:rPr>
      </w:pPr>
      <w:bookmarkStart w:id="27" w:name="toc123994_25"/>
      <w:bookmarkEnd w:id="27"/>
      <w:r>
        <w:rPr>
          <w:rFonts w:ascii="arial" w:hAnsi="arial"/>
          <w:b/>
          <w:color w:val="004876"/>
          <w:sz w:val="20"/>
        </w:rPr>
        <w:t xml:space="preserve">Compensation Risk Assessment </w:t>
      </w:r>
    </w:p>
    <w:p>
      <w:pPr>
        <w:pStyle w:val="TextBody"/>
        <w:bidi w:val="0"/>
        <w:spacing w:before="120" w:after="0"/>
        <w:jc w:val="left"/>
        <w:rPr>
          <w:rFonts w:ascii="arial" w:hAnsi="arial"/>
          <w:sz w:val="20"/>
        </w:rPr>
      </w:pPr>
      <w:r>
        <w:rPr>
          <w:rFonts w:ascii="arial" w:hAnsi="arial"/>
          <w:sz w:val="20"/>
        </w:rPr>
        <w:t xml:space="preserve">The Compensation Committee performed an assessment of whether risks arising from the Company’s compensation policies and practices for all employees during 2025, including non-executive officers, are reasonably likely to have a material adverse effect on the Company. Each policy and plan was evaluated based on certain elements of risk, including, but not limited to, (i) the mix of fixed and variable pay, (ii) types of performance metrics, (iii) performance goals and payout curves, (iv) payment timing and adjustments, (v) equity incentives, and (vi) stock ownership requirements and trading policies. Based on this evaluation, an assessment of each plan was performed, along with an overall assessment of compensation risk to the Company. After evaluation and discussion, the Committee determined that the Company’s compensation policies and practices are not reasonably likely to have a material adverse effect on the Company. </w:t>
      </w:r>
    </w:p>
    <w:p>
      <w:pPr>
        <w:pStyle w:val="TextBody"/>
        <w:bidi w:val="0"/>
        <w:spacing w:before="240" w:after="0"/>
        <w:jc w:val="left"/>
        <w:rPr>
          <w:rFonts w:ascii="arial" w:hAnsi="arial"/>
          <w:b/>
          <w:color w:val="B99C16"/>
          <w:sz w:val="28"/>
        </w:rPr>
      </w:pPr>
      <w:bookmarkStart w:id="28" w:name="toc123994_26"/>
      <w:bookmarkEnd w:id="28"/>
      <w:r>
        <w:rPr>
          <w:rFonts w:ascii="arial" w:hAnsi="arial"/>
          <w:b/>
          <w:color w:val="B99C16"/>
          <w:sz w:val="28"/>
        </w:rPr>
        <w:t>N</w:t>
      </w:r>
      <w:r>
        <w:rPr>
          <w:rFonts w:ascii="arial" w:hAnsi="arial"/>
          <w:b/>
          <w:color w:val="B99C16"/>
          <w:sz w:val="20"/>
          <w:u w:val="single"/>
        </w:rPr>
        <w:t>OMINATING</w:t>
      </w:r>
      <w:r>
        <w:rPr>
          <w:rFonts w:ascii="arial" w:hAnsi="arial"/>
          <w:b/>
          <w:color w:val="B99C16"/>
          <w:sz w:val="28"/>
        </w:rPr>
        <w:t xml:space="preserve"> </w:t>
      </w:r>
      <w:r>
        <w:rPr>
          <w:rFonts w:ascii="arial" w:hAnsi="arial"/>
          <w:b/>
          <w:color w:val="B99C16"/>
          <w:sz w:val="20"/>
          <w:u w:val="single"/>
        </w:rPr>
        <w:t>AND</w:t>
      </w:r>
      <w:r>
        <w:rPr>
          <w:rFonts w:ascii="arial" w:hAnsi="arial"/>
          <w:b/>
          <w:color w:val="B99C16"/>
          <w:sz w:val="28"/>
        </w:rPr>
        <w:t xml:space="preserve"> G</w:t>
      </w:r>
      <w:r>
        <w:rPr>
          <w:rFonts w:ascii="arial" w:hAnsi="arial"/>
          <w:b/>
          <w:color w:val="B99C16"/>
          <w:sz w:val="20"/>
          <w:u w:val="single"/>
        </w:rPr>
        <w:t>OVERNANCE</w:t>
      </w:r>
      <w:r>
        <w:rPr>
          <w:rFonts w:ascii="arial" w:hAnsi="arial"/>
          <w:b/>
          <w:color w:val="B99C16"/>
          <w:sz w:val="28"/>
        </w:rPr>
        <w:t xml:space="preserve"> C</w:t>
      </w:r>
      <w:r>
        <w:rPr>
          <w:rFonts w:ascii="arial" w:hAnsi="arial"/>
          <w:b/>
          <w:color w:val="B99C16"/>
          <w:sz w:val="20"/>
          <w:u w:val="single"/>
        </w:rPr>
        <w:t>OMMITTEE</w:t>
      </w:r>
      <w:r>
        <w:rPr>
          <w:rFonts w:ascii="arial" w:hAnsi="arial"/>
          <w:b/>
          <w:color w:val="B99C16"/>
          <w:sz w:val="28"/>
        </w:rPr>
        <w:t xml:space="preserve"> </w:t>
      </w:r>
    </w:p>
    <w:p>
      <w:pPr>
        <w:pStyle w:val="TextBody"/>
        <w:bidi w:val="0"/>
        <w:spacing w:before="240" w:after="0"/>
        <w:jc w:val="left"/>
        <w:rPr>
          <w:rFonts w:ascii="arial" w:hAnsi="arial"/>
          <w:sz w:val="20"/>
        </w:rPr>
      </w:pPr>
      <w:r>
        <w:rPr>
          <w:rFonts w:ascii="arial" w:hAnsi="arial"/>
          <w:sz w:val="20"/>
        </w:rPr>
        <w:t xml:space="preserve">The Company’s Nominating and Governance Committee is responsible for identifying, evaluating, and recommending individuals qualified to become members of the Board, overseeing annual performance of the Board and Committees, and establishing the criteria for and reviewing the effectiveness of the Company’s Board of Directors. In addition, the Nominating and Governance Committee provides oversight regarding the Company’s environmental, sustainability and governance efforts and progress and corporate governance policies. </w:t>
      </w:r>
    </w:p>
    <w:p>
      <w:pPr>
        <w:pStyle w:val="TextBody"/>
        <w:bidi w:val="0"/>
        <w:spacing w:before="240" w:after="0"/>
        <w:jc w:val="left"/>
        <w:rPr>
          <w:rFonts w:ascii="arial" w:hAnsi="arial"/>
          <w:sz w:val="20"/>
        </w:rPr>
      </w:pPr>
      <w:r>
        <w:rPr>
          <w:rFonts w:ascii="arial" w:hAnsi="arial"/>
          <w:sz w:val="20"/>
        </w:rPr>
        <w:t xml:space="preserve">The Company’s Nominating and Governance Committee operates under a written charter and is comprised entirely of directors meeting the independence requirements of Nasdaq. </w:t>
      </w:r>
    </w:p>
    <w:p>
      <w:pPr>
        <w:pStyle w:val="TextBody"/>
        <w:bidi w:val="0"/>
        <w:spacing w:before="240" w:after="0"/>
        <w:jc w:val="left"/>
        <w:rPr>
          <w:rFonts w:ascii="arial" w:hAnsi="arial"/>
          <w:sz w:val="20"/>
        </w:rPr>
      </w:pPr>
      <w:r>
        <w:rPr>
          <w:rFonts w:ascii="arial" w:hAnsi="arial"/>
          <w:sz w:val="20"/>
        </w:rPr>
        <w:t xml:space="preserve">Pursuant to the Company’s Corporate Governance Guidelines, the Nominating and Governance Committee determines and recommends to the Board criteria regarding personal qualifications needed for Board membership, and the Committee considers, reviews qualifications, and recommends qualified candidates for Board membership. In doing so, the Nominating and Governance Committee reviews the composition of the Board and the Company’s strategic plans to determine its needs regarding Board composition and identify candidates with the appropriate skill sets and qualifications. While the Company does not have a formal policy on diversity for members of the Board of Directors, the Company’s Corporate Governance Guidelines specifically provide that diversity of race and gender, as well as general diversity of backgrounds and experience represented on the Board of Directors are factors to consider in evaluating potential directors. The Nominating and Governance Committee seeks to include diverse individuals with respect to self-identified characteristics such as gender, race, and ethnicity when conducting a search for qualified candidates for Board membership. The Nominating and Governance Committee may employ an outside consultant to identify nominees with the skill sets, experience and backgrounds that suit the Company’s needs. </w:t>
      </w:r>
    </w:p>
    <w:p>
      <w:pPr>
        <w:pStyle w:val="TextBody"/>
        <w:bidi w:val="0"/>
        <w:spacing w:before="240" w:after="0"/>
        <w:jc w:val="left"/>
        <w:rPr>
          <w:rFonts w:ascii="arial" w:hAnsi="arial"/>
          <w:sz w:val="20"/>
        </w:rPr>
      </w:pPr>
      <w:r>
        <w:rPr>
          <w:rFonts w:ascii="arial" w:hAnsi="arial"/>
          <w:sz w:val="20"/>
        </w:rPr>
        <w:t xml:space="preserve">A candidate for the Company’s Board of Directors should possess the highest personal and professional ethics, integrity and values and be committed to representing the long-term interests of the Company’s various constituencies. In considering a candidate for nomination as a member of the Board, the Nominating and Governance Committee will consider criteria such as independence; occupational background, including principal occupation (i.e., chief executive officer, attorney, accountant, investment banker, or other pertinent occupation); level and type of business experience (i.e., financial, lending, investment, media, racing industry, technology, etc.); self-identified diversity characteristics; number of boards on which the individual serves; and the general diversity of backgrounds and experience represented on the Board. The Nominating and Governance Committee periodically reviews the Company’s Corporate Governance Guidelines and, when appropriate, recommends changes to the Board. It also evaluates the performance of the Board and provides feedback to the Board on how the directors, the committees and the Board are functioning. Finally, it evaluates Board of Director practices at the Company and leadership on an annual basis and recommends appropriate changes to the Board and/or its practices.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5" descr=""/>
                          <pic:cNvPicPr>
                            <a:picLocks noChangeAspect="1" noChangeArrowheads="1"/>
                          </pic:cNvPicPr>
                        </pic:nvPicPr>
                        <pic:blipFill>
                          <a:blip r:embed="rId56"/>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Corporate Governance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Nominating and Governance Committee receives and considers issues raised by shareholders or other stakeholders in the Company and recommends appropriate responses to the Board. The Nominating and Governance Committee will consider recommendations for director candidates submitted by shareholders. Such questions, comments or recommendations should be submitted in writing to the Nominating and Governance Committee in care of the Office of the Secretary at 600 N. Hurstbourne Parkway, Ste. 400, Louisville, Kentucky 40222. The Nominating and Governance Committee, in having adopted criteria to be considered for membership on its Board, considers such candidates applying such criteria and follows the recommendation process noted above. Recommendations by shareholders that are made in accordance with these procedures will receive the same consideration as recommendations from other sources.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20</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6" descr=""/>
                          <pic:cNvPicPr>
                            <a:picLocks noChangeAspect="1" noChangeArrowheads="1"/>
                          </pic:cNvPicPr>
                        </pic:nvPicPr>
                        <pic:blipFill>
                          <a:blip r:embed="rId57"/>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Proposal to Ratify the Appointment of PricewaterhouseCoopers LLP as the Company’s Independent Registered Public Accounting Firm for 2026 (Proposal No. 2)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29" w:name="toc123994_27"/>
            <w:bookmarkEnd w:id="29"/>
            <w:r>
              <w:rPr>
                <w:rFonts w:ascii="arial" w:hAnsi="arial"/>
                <w:b/>
                <w:color w:val="004876"/>
                <w:sz w:val="48"/>
              </w:rPr>
              <w:t>PROPOSAL TO RATIFY THE APPOINTMENT OF PRICEWATERHOUSECOOPERS LLP AS THE COMPANY’S INDEPENDENT REGISTERED PUBLIC ACCOUNTING FIRM FOR 2026 (Proposal No. 2)</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The Board of Directors, on recommendation from the Audit Committee, selected PricewaterhouseCoopers LLP (“PwC”) to serve as the Company’s independent registered public accounting firm for the fiscal year ending December 31, 2026. PwC has served as the Company’s independent registered public accounting firm since the Company’s 1990 fiscal year. </w:t>
      </w:r>
    </w:p>
    <w:p>
      <w:pPr>
        <w:pStyle w:val="TextBody"/>
        <w:bidi w:val="0"/>
        <w:spacing w:before="240" w:after="0"/>
        <w:jc w:val="left"/>
        <w:rPr>
          <w:rFonts w:ascii="arial" w:hAnsi="arial"/>
          <w:sz w:val="20"/>
        </w:rPr>
      </w:pPr>
      <w:r>
        <w:rPr>
          <w:rFonts w:ascii="arial" w:hAnsi="arial"/>
          <w:sz w:val="20"/>
        </w:rPr>
        <w:t xml:space="preserve">Although the Company’s Amended and Restated Bylaws do not require that the Company’s shareholders ratify the appointment of PwC as the Company’s independent registered public accounting firm, the Board of Directors is submitting the appointment of PwC to the Company’s shareholders for ratification as a matter of good corporate governance. This proposal will be approved if the votes cast favoring the action exceed the votes cast opposing the action. If the appointment is not ratified, the Company’s Audit Committee will consider whether it is appropriate to select another independent registered public accounting firm. Even if the appointment is ratified, the Company’s Audit Committee, in its sole discretion, may select a different independent registered public accounting firm at any time during the year if it determines that such a change would be in the best interests of the Company and its shareholders. </w:t>
      </w:r>
    </w:p>
    <w:p>
      <w:pPr>
        <w:pStyle w:val="TextBody"/>
        <w:bidi w:val="0"/>
        <w:spacing w:before="240" w:after="0"/>
        <w:jc w:val="left"/>
        <w:rPr>
          <w:rFonts w:ascii="arial" w:hAnsi="arial"/>
          <w:sz w:val="20"/>
        </w:rPr>
      </w:pPr>
      <w:r>
        <w:rPr>
          <w:rFonts w:ascii="arial" w:hAnsi="arial"/>
          <w:sz w:val="20"/>
        </w:rPr>
        <w:t xml:space="preserve">Representatives of PwC are expected to be present at the Annual Meeting and will be available to respond to appropriate questions and will have the opportunity to make a statement if they desire to do so.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57"/>
        <w:gridCol w:w="120"/>
        <w:gridCol w:w="9028"/>
      </w:tblGrid>
      <w:tr>
        <w:trPr/>
        <w:tc>
          <w:tcPr>
            <w:tcW w:w="10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28" w:type="dxa"/>
            <w:tcBorders/>
            <w:vAlign w:val="center"/>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center"/>
              <w:rPr/>
            </w:pPr>
            <w:r>
              <w:rPr/>
              <w:drawing>
                <wp:inline distT="0" distB="0" distL="0" distR="0">
                  <wp:extent cx="656590" cy="687705"/>
                  <wp:effectExtent l="0" t="0" r="0" b="0"/>
                  <wp:docPr id="5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7" descr=""/>
                          <pic:cNvPicPr>
                            <a:picLocks noChangeAspect="1" noChangeArrowheads="1"/>
                          </pic:cNvPicPr>
                        </pic:nvPicPr>
                        <pic:blipFill>
                          <a:blip r:embed="rId58"/>
                          <a:stretch>
                            <a:fillRect/>
                          </a:stretch>
                        </pic:blipFill>
                        <pic:spPr bwMode="auto">
                          <a:xfrm>
                            <a:off x="0" y="0"/>
                            <a:ext cx="656590" cy="6877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spacing w:before="0" w:after="283"/>
              <w:jc w:val="left"/>
              <w:rPr>
                <w:b/>
                <w:color w:val="004876"/>
              </w:rPr>
            </w:pPr>
            <w:r>
              <w:rPr>
                <w:b/>
                <w:color w:val="004876"/>
              </w:rPr>
              <w:t xml:space="preserve">The Board of Directors and the Audit Committee recommend that the shareholders vote </w:t>
            </w:r>
            <w:r>
              <w:rPr>
                <w:b/>
                <w:color w:val="B99C16"/>
              </w:rPr>
              <w:t>“</w:t>
            </w:r>
            <w:r>
              <w:rPr>
                <w:b/>
                <w:color w:val="B99C16"/>
                <w:sz w:val="32"/>
              </w:rPr>
              <w:t>FOR”</w:t>
            </w:r>
            <w:r>
              <w:rPr>
                <w:b/>
                <w:color w:val="004876"/>
              </w:rPr>
              <w:t xml:space="preserve"> the ratification of the appointment of PricewaterhouseCoopers LLP as the Company’s Independent Registered Public Accounting Firm for fiscal year 2026.</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8" descr=""/>
                          <pic:cNvPicPr>
                            <a:picLocks noChangeAspect="1" noChangeArrowheads="1"/>
                          </pic:cNvPicPr>
                        </pic:nvPicPr>
                        <pic:blipFill>
                          <a:blip r:embed="rId59"/>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Independent Public Accountants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9396" w:type="dxa"/>
        <w:jc w:val="left"/>
        <w:tblInd w:w="0" w:type="dxa"/>
        <w:tblLayout w:type="fixed"/>
        <w:tblCellMar>
          <w:top w:w="0" w:type="dxa"/>
          <w:left w:w="0" w:type="dxa"/>
          <w:bottom w:w="0" w:type="dxa"/>
          <w:right w:w="0" w:type="dxa"/>
        </w:tblCellMar>
      </w:tblPr>
      <w:tblGrid>
        <w:gridCol w:w="75"/>
        <w:gridCol w:w="23"/>
        <w:gridCol w:w="23"/>
        <w:gridCol w:w="60"/>
        <w:gridCol w:w="9215"/>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15"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arial" w:hAnsi="arial"/>
                <w:b/>
                <w:color w:val="004876"/>
                <w:sz w:val="48"/>
              </w:rPr>
            </w:pPr>
            <w:bookmarkStart w:id="30" w:name="toc123994_28"/>
            <w:bookmarkEnd w:id="30"/>
            <w:r>
              <w:rPr>
                <w:rFonts w:ascii="arial" w:hAnsi="arial"/>
                <w:b/>
                <w:color w:val="004876"/>
                <w:sz w:val="48"/>
              </w:rPr>
              <w:t>INDEPENDENT PUBLIC ACCOUNTANTS</w:t>
            </w:r>
          </w:p>
          <w:p>
            <w:pPr>
              <w:pStyle w:val="TableContents"/>
              <w:bidi w:val="0"/>
              <w:spacing w:before="0" w:after="20"/>
              <w:jc w:val="left"/>
              <w:rPr/>
            </w:pPr>
            <w:r>
              <w:rPr/>
              <w:t> </w:t>
            </w:r>
          </w:p>
        </w:tc>
      </w:tr>
    </w:tbl>
    <w:p>
      <w:pPr>
        <w:pStyle w:val="TextBody"/>
        <w:bidi w:val="0"/>
        <w:spacing w:before="480" w:after="0"/>
        <w:jc w:val="left"/>
        <w:rPr>
          <w:rFonts w:ascii="arial" w:hAnsi="arial"/>
          <w:b/>
          <w:color w:val="004876"/>
          <w:sz w:val="20"/>
        </w:rPr>
      </w:pPr>
      <w:bookmarkStart w:id="31" w:name="toc123994_29"/>
      <w:bookmarkEnd w:id="31"/>
      <w:r>
        <w:rPr>
          <w:rFonts w:ascii="arial" w:hAnsi="arial"/>
          <w:b/>
          <w:color w:val="004876"/>
          <w:sz w:val="20"/>
        </w:rPr>
        <w:t xml:space="preserve">Audit Fees </w:t>
      </w:r>
    </w:p>
    <w:p>
      <w:pPr>
        <w:pStyle w:val="TextBody"/>
        <w:bidi w:val="0"/>
        <w:spacing w:before="120" w:after="0"/>
        <w:jc w:val="left"/>
        <w:rPr>
          <w:rFonts w:ascii="arial" w:hAnsi="arial"/>
          <w:sz w:val="20"/>
        </w:rPr>
      </w:pPr>
      <w:r>
        <w:rPr>
          <w:rFonts w:ascii="arial" w:hAnsi="arial"/>
          <w:sz w:val="20"/>
        </w:rPr>
        <w:t xml:space="preserve">The audit fees incurred by the Company for services provided by PwC (i) for the fiscal year ended December 31, 2025, were $3,708,000 and (ii) for the fiscal year ended December 31, 2024, were $3,159,500. Audit fees include services related to the audit of the Company’s consolidated financial statements, the audit of the effectiveness of internal control over financial reporting, involvement with registration statement filings, statutory audits and consultations related to miscellaneous SEC and financial reporting matters. </w:t>
      </w:r>
    </w:p>
    <w:p>
      <w:pPr>
        <w:pStyle w:val="TextBody"/>
        <w:bidi w:val="0"/>
        <w:spacing w:before="360" w:after="0"/>
        <w:jc w:val="left"/>
        <w:rPr>
          <w:rFonts w:ascii="arial" w:hAnsi="arial"/>
          <w:b/>
          <w:color w:val="004876"/>
          <w:sz w:val="20"/>
        </w:rPr>
      </w:pPr>
      <w:bookmarkStart w:id="32" w:name="toc123994_30"/>
      <w:bookmarkEnd w:id="32"/>
      <w:r>
        <w:rPr>
          <w:rFonts w:ascii="arial" w:hAnsi="arial"/>
          <w:b/>
          <w:color w:val="004876"/>
          <w:sz w:val="20"/>
        </w:rPr>
        <w:t xml:space="preserve">Audit-Related Fees </w:t>
      </w:r>
    </w:p>
    <w:p>
      <w:pPr>
        <w:pStyle w:val="TextBody"/>
        <w:bidi w:val="0"/>
        <w:spacing w:before="120" w:after="0"/>
        <w:jc w:val="left"/>
        <w:rPr>
          <w:rFonts w:ascii="arial" w:hAnsi="arial"/>
          <w:sz w:val="20"/>
        </w:rPr>
      </w:pPr>
      <w:r>
        <w:rPr>
          <w:rFonts w:ascii="arial" w:hAnsi="arial"/>
          <w:sz w:val="20"/>
        </w:rPr>
        <w:t xml:space="preserve">The Company incurred fees in the amount of $1,790,000 for 2025 and $4,600 for 2024 for assurance and related services performed by PwC that were reasonably related to the performance of the audit or review of the Company’s financial statements that are not reported in the preceding section. </w:t>
      </w:r>
    </w:p>
    <w:p>
      <w:pPr>
        <w:pStyle w:val="TextBody"/>
        <w:bidi w:val="0"/>
        <w:spacing w:before="360" w:after="0"/>
        <w:jc w:val="left"/>
        <w:rPr>
          <w:rFonts w:ascii="arial" w:hAnsi="arial"/>
          <w:b/>
          <w:color w:val="004876"/>
          <w:sz w:val="20"/>
        </w:rPr>
      </w:pPr>
      <w:bookmarkStart w:id="33" w:name="toc123994_31"/>
      <w:bookmarkEnd w:id="33"/>
      <w:r>
        <w:rPr>
          <w:rFonts w:ascii="arial" w:hAnsi="arial"/>
          <w:b/>
          <w:color w:val="004876"/>
          <w:sz w:val="20"/>
        </w:rPr>
        <w:t xml:space="preserve">Tax Fees </w:t>
      </w:r>
    </w:p>
    <w:p>
      <w:pPr>
        <w:pStyle w:val="TextBody"/>
        <w:bidi w:val="0"/>
        <w:spacing w:before="120" w:after="0"/>
        <w:jc w:val="left"/>
        <w:rPr>
          <w:rFonts w:ascii="arial" w:hAnsi="arial"/>
          <w:sz w:val="20"/>
        </w:rPr>
      </w:pPr>
      <w:r>
        <w:rPr>
          <w:rFonts w:ascii="arial" w:hAnsi="arial"/>
          <w:sz w:val="20"/>
        </w:rPr>
        <w:t xml:space="preserve">The Company did not incur any tax fees for services provided by PwC in 2025 or 2024. Tax fees include services related to tax return preparation for a related entity, tax consultation and tax advice. </w:t>
      </w:r>
    </w:p>
    <w:p>
      <w:pPr>
        <w:pStyle w:val="TextBody"/>
        <w:bidi w:val="0"/>
        <w:spacing w:before="360" w:after="0"/>
        <w:jc w:val="left"/>
        <w:rPr>
          <w:rFonts w:ascii="arial" w:hAnsi="arial"/>
          <w:b/>
          <w:color w:val="004876"/>
          <w:sz w:val="20"/>
        </w:rPr>
      </w:pPr>
      <w:bookmarkStart w:id="34" w:name="toc123994_32"/>
      <w:bookmarkEnd w:id="34"/>
      <w:r>
        <w:rPr>
          <w:rFonts w:ascii="arial" w:hAnsi="arial"/>
          <w:b/>
          <w:color w:val="004876"/>
          <w:sz w:val="20"/>
        </w:rPr>
        <w:t xml:space="preserve">All Other Fees </w:t>
      </w:r>
    </w:p>
    <w:p>
      <w:pPr>
        <w:pStyle w:val="TextBody"/>
        <w:bidi w:val="0"/>
        <w:spacing w:before="120" w:after="0"/>
        <w:jc w:val="left"/>
        <w:rPr>
          <w:rFonts w:ascii="arial" w:hAnsi="arial"/>
          <w:sz w:val="20"/>
        </w:rPr>
      </w:pPr>
      <w:r>
        <w:rPr>
          <w:rFonts w:ascii="arial" w:hAnsi="arial"/>
          <w:sz w:val="20"/>
        </w:rPr>
        <w:t xml:space="preserve">All other fees incurred by the Company for services provided by PwC relate to the use of Inform, PwC’s accounting research software, and PwC’s disclosure checklist software, which amounted to $2,000 in each of 2025 and 2024. The Audit Committee has considered whether the provision of non-audit services to the Company is compatible with maintaining PwC’s independence. </w:t>
      </w:r>
    </w:p>
    <w:p>
      <w:pPr>
        <w:pStyle w:val="TextBody"/>
        <w:bidi w:val="0"/>
        <w:spacing w:before="240" w:after="0"/>
        <w:jc w:val="left"/>
        <w:rPr>
          <w:rFonts w:ascii="arial" w:hAnsi="arial"/>
          <w:sz w:val="20"/>
        </w:rPr>
      </w:pPr>
      <w:r>
        <w:rPr>
          <w:rFonts w:ascii="arial" w:hAnsi="arial"/>
          <w:sz w:val="20"/>
        </w:rPr>
        <w:t xml:space="preserve">The Audit Committee has adopted a policy of evaluating and pre-approving all audit and non-audit services provided by the independent auditors. The Audit Committee may delegate pre-approval authority to a member, provided that decisions of such member shall be presented to the full Audit Committee at its next scheduled meeting. The Audit Committee pre-approved all audit and permissible non-audit services provided by the independent auditors in 2025.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22</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6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9" descr=""/>
                          <pic:cNvPicPr>
                            <a:picLocks noChangeAspect="1" noChangeArrowheads="1"/>
                          </pic:cNvPicPr>
                        </pic:nvPicPr>
                        <pic:blipFill>
                          <a:blip r:embed="rId60"/>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Churchill Downs Incorporated Audit Committee Report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35" w:name="toc123994_33"/>
            <w:bookmarkEnd w:id="35"/>
            <w:r>
              <w:rPr>
                <w:rFonts w:ascii="arial" w:hAnsi="arial"/>
                <w:b/>
                <w:color w:val="004876"/>
                <w:sz w:val="48"/>
              </w:rPr>
              <w:t>CHURCHILL DOWNS INCORPORATED AUDIT COMMITTEE REPORT</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The following is the report of the Company’s Audit Committee (the “Committee”), each member of which has been determined by the Board of Directors (the “Board”) to meet the current standards of the SEC and the Nasdaq exchange to be considered an “independent director.” The Board has also determined that two members, Daniel P. Harrington and Karole F. Lloyd, are “audit committee financial experts” as defined by the SEC. </w:t>
      </w:r>
    </w:p>
    <w:p>
      <w:pPr>
        <w:pStyle w:val="TextBody"/>
        <w:bidi w:val="0"/>
        <w:spacing w:before="240" w:after="0"/>
        <w:jc w:val="left"/>
        <w:rPr>
          <w:rFonts w:ascii="arial" w:hAnsi="arial"/>
          <w:sz w:val="20"/>
        </w:rPr>
      </w:pPr>
      <w:r>
        <w:rPr>
          <w:rFonts w:ascii="arial" w:hAnsi="arial"/>
          <w:sz w:val="20"/>
        </w:rPr>
        <w:t xml:space="preserve">The Committee has an Audit Committee Charter (the “Charter”). The Charter sets forth certain responsibilities of the Committee, which include oversight of the integrity of the financial reporting process and financial statements of the Company, the systems of internal controls over financial reporting which management has established, the independence and performance of the Company’s internal and independent auditors, the Company’s compliance with financial, accounting, legal and regulatory requirements, and the effectiveness of the Enterprise Risk Management (“ERM”) function. The Committee reviews the work of the Company’s management, the internal audit staff and the independent auditors on behalf of the Board. </w:t>
      </w:r>
    </w:p>
    <w:p>
      <w:pPr>
        <w:pStyle w:val="TextBody"/>
        <w:bidi w:val="0"/>
        <w:spacing w:before="240" w:after="0"/>
        <w:jc w:val="left"/>
        <w:rPr>
          <w:rFonts w:ascii="arial" w:hAnsi="arial"/>
          <w:sz w:val="20"/>
        </w:rPr>
      </w:pPr>
      <w:r>
        <w:rPr>
          <w:rFonts w:ascii="arial" w:hAnsi="arial"/>
          <w:sz w:val="20"/>
        </w:rPr>
        <w:t xml:space="preserve">Specifically, the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arial" w:hAnsi="arial"/>
                <w:sz w:val="20"/>
              </w:rPr>
            </w:pPr>
            <w:r>
              <w:rPr>
                <w:rFonts w:ascii="arial" w:hAnsi="arial"/>
                <w:sz w:val="20"/>
              </w:rPr>
              <w:t xml:space="preserve">Met four (4) times during the year, during which the Committee reviewed and discussed with management and the independent auditors the Company’s interim and annual financial statements for 2025; at each of such meetings, the Committee met in executive session with the Company’s Vice President of Internal Audit, independent auditors, General Counsel, CFO, and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arial" w:hAnsi="arial"/>
                <w:sz w:val="20"/>
              </w:rPr>
            </w:pPr>
            <w:r>
              <w:rPr>
                <w:rFonts w:ascii="arial" w:hAnsi="arial"/>
                <w:sz w:val="20"/>
              </w:rPr>
              <w:t xml:space="preserve">Discussed with the independent auditors all matters required to be discussed by the applicable requirements of the Public Company Accounting Oversight Board and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arial" w:hAnsi="arial"/>
                <w:sz w:val="20"/>
              </w:rPr>
            </w:pPr>
            <w:r>
              <w:rPr>
                <w:rFonts w:ascii="arial" w:hAnsi="arial"/>
                <w:sz w:val="20"/>
              </w:rPr>
              <w:t xml:space="preserve">Received the written disclosures and letters from the independent auditors required by applicable requirements of the Public Company Accounting Oversight Board, regarding the independent auditors’ communications with the Audit Committee concerning independence and discussed with the independent auditors the independent auditors’ independence.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arial" w:hAnsi="arial"/>
                <w:sz w:val="20"/>
              </w:rPr>
            </w:pPr>
            <w:r>
              <w:rPr>
                <w:rFonts w:ascii="arial" w:hAnsi="arial"/>
                <w:sz w:val="20"/>
              </w:rPr>
              <w:t xml:space="preserve">Based on the review and discussions referred to in the first three bullets above, the Committee recommended to the Board that the Company’s audited financial statements be included in the Company’s Annual Report on Form 10-K for the fiscal year ended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arial" w:hAnsi="arial"/>
                <w:sz w:val="20"/>
              </w:rPr>
            </w:pPr>
            <w:r>
              <w:rPr>
                <w:rFonts w:ascii="arial" w:hAnsi="arial"/>
                <w:sz w:val="20"/>
              </w:rPr>
              <w:t xml:space="preserve">Reviewed and discussed reports from the Company’s internal audit department and reports from the Company’s legal and compliance department.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125"/>
        <w:gridCol w:w="9215"/>
      </w:tblGrid>
      <w:tr>
        <w:trPr/>
        <w:tc>
          <w:tcPr>
            <w:tcW w:w="125"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0"/>
              <w:jc w:val="left"/>
              <w:rPr>
                <w:rFonts w:ascii="arial" w:hAnsi="arial"/>
                <w:sz w:val="20"/>
              </w:rPr>
            </w:pPr>
            <w:r>
              <w:rPr>
                <w:rFonts w:ascii="arial" w:hAnsi="arial"/>
                <w:sz w:val="20"/>
              </w:rPr>
              <w:t xml:space="preserve">Discussed with management and the independent auditors the quality of the Company’s internal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arial" w:hAnsi="arial"/>
                <w:sz w:val="20"/>
              </w:rPr>
            </w:pPr>
            <w:r>
              <w:rPr>
                <w:rFonts w:ascii="arial" w:hAnsi="arial"/>
                <w:sz w:val="20"/>
              </w:rPr>
              <w:t xml:space="preserve">Review the Company’s significant financial, business, and other risk exposures and the steps management has taken to prevent, detect, and monitor such exposures as part of the ERM function.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125"/>
        <w:gridCol w:w="5495"/>
      </w:tblGrid>
      <w:tr>
        <w:trPr/>
        <w:tc>
          <w:tcPr>
            <w:tcW w:w="125"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0"/>
              <w:jc w:val="left"/>
              <w:rPr>
                <w:rFonts w:ascii="arial" w:hAnsi="arial"/>
                <w:sz w:val="20"/>
              </w:rPr>
            </w:pPr>
            <w:r>
              <w:rPr>
                <w:rFonts w:ascii="arial" w:hAnsi="arial"/>
                <w:sz w:val="20"/>
              </w:rPr>
              <w:t xml:space="preserve">Reviewed and approved all related person transactions, if any.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125"/>
        <w:gridCol w:w="4520"/>
      </w:tblGrid>
      <w:tr>
        <w:trPr/>
        <w:tc>
          <w:tcPr>
            <w:tcW w:w="125"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0"/>
              <w:jc w:val="left"/>
              <w:rPr>
                <w:rFonts w:ascii="arial" w:hAnsi="arial"/>
                <w:sz w:val="20"/>
              </w:rPr>
            </w:pPr>
            <w:r>
              <w:rPr>
                <w:rFonts w:ascii="arial" w:hAnsi="arial"/>
                <w:sz w:val="20"/>
              </w:rPr>
              <w:t xml:space="preserve">Self-evaluated the effectiveness of the Committee.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125"/>
        <w:gridCol w:w="6095"/>
      </w:tblGrid>
      <w:tr>
        <w:trPr/>
        <w:tc>
          <w:tcPr>
            <w:tcW w:w="125"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0"/>
              <w:jc w:val="left"/>
              <w:rPr>
                <w:rFonts w:ascii="arial" w:hAnsi="arial"/>
                <w:sz w:val="20"/>
              </w:rPr>
            </w:pPr>
            <w:r>
              <w:rPr>
                <w:rFonts w:ascii="arial" w:hAnsi="arial"/>
                <w:sz w:val="20"/>
              </w:rPr>
              <w:t xml:space="preserve">Evaluated the effectiveness of the Company’s internal audit function.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arial" w:hAnsi="arial"/>
                <w:sz w:val="20"/>
              </w:rPr>
            </w:pPr>
            <w:r>
              <w:rPr>
                <w:rFonts w:ascii="arial" w:hAnsi="arial"/>
                <w:sz w:val="20"/>
              </w:rPr>
              <w:t xml:space="preserve">Inquired of management, including its internal auditor, and the Company’s independent auditors regarding significant risks or exposures, including those related to fraudulent activities, facing the Company; assessed the steps management has taken or proposes to take to minimize such risks to the Company; and reviewed compliance with such steps.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arial" w:hAnsi="arial"/>
                <w:sz w:val="20"/>
              </w:rPr>
            </w:pPr>
            <w:r>
              <w:rPr>
                <w:rFonts w:ascii="arial" w:hAnsi="arial"/>
                <w:sz w:val="20"/>
              </w:rPr>
              <w:t xml:space="preserve">Reviewed and approved the 2025 audit and non-audit services and related fees provided by the independent auditors, PricewaterhouseCoopers LLP (“PwC”). The non-audit services approved by the Audit Committee were also reviewed to ensure compatibility with maintaining the auditor’s independence.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arial" w:hAnsi="arial"/>
                <w:sz w:val="20"/>
              </w:rPr>
            </w:pPr>
            <w:r>
              <w:rPr>
                <w:rFonts w:ascii="arial" w:hAnsi="arial"/>
                <w:sz w:val="20"/>
              </w:rPr>
              <w:t xml:space="preserve">In February 2025, the Committee selected PwC to be reappointed as independent auditors for the calendar year 2025.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6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0" descr=""/>
                          <pic:cNvPicPr>
                            <a:picLocks noChangeAspect="1" noChangeArrowheads="1"/>
                          </pic:cNvPicPr>
                        </pic:nvPicPr>
                        <pic:blipFill>
                          <a:blip r:embed="rId61"/>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Churchill Downs Incorporated Audit Committee Report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No portion of this Audit Committee Report shall be deemed to be incorporated by reference into any filing under the Securities Act of 1933, as amended (the “Securities Act”), or the Securities Exchange Act of 1934, as amended (the “Exchange Act”), through any general statement incorporating by reference in its entirety the Proxy Statement in which this report appears, except to the extent that the Company specifically incorporates this report or a portion of it by reference. In addition, this report shall not be deemed to be filed under either the Securities Act or the Exchange Act. </w:t>
      </w:r>
    </w:p>
    <w:p>
      <w:pPr>
        <w:pStyle w:val="TextBody"/>
        <w:bidi w:val="0"/>
        <w:spacing w:before="240" w:after="0"/>
        <w:jc w:val="left"/>
        <w:rPr>
          <w:rFonts w:ascii="arial" w:hAnsi="arial"/>
          <w:sz w:val="20"/>
        </w:rPr>
      </w:pPr>
      <w:r>
        <w:rPr>
          <w:rFonts w:ascii="arial" w:hAnsi="arial"/>
          <w:sz w:val="20"/>
        </w:rPr>
        <w:t xml:space="preserve">Members of the Audit Committee </w:t>
      </w:r>
    </w:p>
    <w:p>
      <w:pPr>
        <w:pStyle w:val="TextBody"/>
        <w:bidi w:val="0"/>
        <w:spacing w:before="240" w:after="0"/>
        <w:jc w:val="left"/>
        <w:rPr>
          <w:rFonts w:ascii="arial" w:hAnsi="arial"/>
          <w:sz w:val="20"/>
        </w:rPr>
      </w:pPr>
      <w:r>
        <w:rPr>
          <w:rFonts w:ascii="arial" w:hAnsi="arial"/>
          <w:b/>
          <w:sz w:val="20"/>
        </w:rPr>
        <w:t xml:space="preserve">Karole F. Lloyd, </w:t>
      </w:r>
      <w:r>
        <w:rPr>
          <w:rFonts w:ascii="arial" w:hAnsi="arial"/>
          <w:i/>
          <w:sz w:val="20"/>
        </w:rPr>
        <w:t>Chair</w:t>
      </w:r>
      <w:r>
        <w:rPr>
          <w:rFonts w:ascii="arial" w:hAnsi="arial"/>
          <w:sz w:val="20"/>
        </w:rPr>
        <w:t xml:space="preserve"> </w:t>
      </w:r>
    </w:p>
    <w:p>
      <w:pPr>
        <w:pStyle w:val="TextBody"/>
        <w:bidi w:val="0"/>
        <w:spacing w:before="0" w:after="0"/>
        <w:jc w:val="left"/>
        <w:rPr>
          <w:rFonts w:ascii="arial" w:hAnsi="arial"/>
          <w:sz w:val="20"/>
        </w:rPr>
      </w:pPr>
      <w:r>
        <w:rPr>
          <w:rFonts w:ascii="arial" w:hAnsi="arial"/>
          <w:b/>
          <w:sz w:val="20"/>
        </w:rPr>
        <w:t>Daniel P. Harrington</w:t>
      </w:r>
      <w:r>
        <w:rPr>
          <w:rFonts w:ascii="arial" w:hAnsi="arial"/>
          <w:sz w:val="20"/>
        </w:rPr>
        <w:t xml:space="preserve"> </w:t>
      </w:r>
    </w:p>
    <w:p>
      <w:pPr>
        <w:pStyle w:val="TextBody"/>
        <w:bidi w:val="0"/>
        <w:spacing w:before="0" w:after="0"/>
        <w:jc w:val="left"/>
        <w:rPr>
          <w:rFonts w:ascii="arial" w:hAnsi="arial"/>
          <w:sz w:val="20"/>
        </w:rPr>
      </w:pPr>
      <w:r>
        <w:rPr>
          <w:rFonts w:ascii="arial" w:hAnsi="arial"/>
          <w:b/>
          <w:sz w:val="20"/>
        </w:rPr>
        <w:t>Paul C. Varga</w:t>
      </w:r>
      <w:r>
        <w:rPr>
          <w:rFonts w:ascii="arial" w:hAnsi="arial"/>
          <w:sz w:val="20"/>
        </w:rPr>
        <w:t xml:space="preserve"> </w:t>
      </w:r>
    </w:p>
    <w:p>
      <w:pPr>
        <w:pStyle w:val="TextBody"/>
        <w:bidi w:val="0"/>
        <w:spacing w:before="0" w:after="0"/>
        <w:jc w:val="left"/>
        <w:rPr>
          <w:rFonts w:ascii="arial" w:hAnsi="arial"/>
          <w:sz w:val="20"/>
        </w:rPr>
      </w:pPr>
      <w:r>
        <w:rPr>
          <w:rFonts w:ascii="arial" w:hAnsi="arial"/>
          <w:b/>
          <w:sz w:val="20"/>
        </w:rPr>
        <w:t>R. Alex Rankin, ex officio</w:t>
      </w:r>
      <w:r>
        <w:rPr>
          <w:rFonts w:ascii="arial" w:hAnsi="arial"/>
          <w:sz w:val="20"/>
        </w:rPr>
        <w:t xml:space="preserve">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24</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6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1" descr=""/>
                          <pic:cNvPicPr>
                            <a:picLocks noChangeAspect="1" noChangeArrowheads="1"/>
                          </pic:cNvPicPr>
                        </pic:nvPicPr>
                        <pic:blipFill>
                          <a:blip r:embed="rId62"/>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Advisory Vote to Approve Executive Compensation (Proposal No. 3)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36" w:name="toc123994_34"/>
            <w:bookmarkEnd w:id="36"/>
            <w:r>
              <w:rPr>
                <w:rFonts w:ascii="arial" w:hAnsi="arial"/>
                <w:b/>
                <w:color w:val="004876"/>
                <w:sz w:val="48"/>
              </w:rPr>
              <w:t>ADVISORY VOTE TO APPROVE EXECUTIVE COMPENSATION (Proposal No. 3)</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Pursuant to Section 14A of the Exchange Act, the Company’s shareholders are entitled to a vote to approve, on an advisory and non-binding basis, the compensation of the Company’s named executive officers (“NEOs”) as disclosed in this Proxy Statement in accordance with SEC rules. In accordance with the preference expressed by shareholders, the Company is holding such advisory votes on an annual basis and the next advisory vote following the Annual Meeting will occur at the 2027 annual meeting of shareholders. </w:t>
      </w:r>
    </w:p>
    <w:p>
      <w:pPr>
        <w:pStyle w:val="TextBody"/>
        <w:bidi w:val="0"/>
        <w:spacing w:before="240" w:after="0"/>
        <w:jc w:val="left"/>
        <w:rPr>
          <w:rFonts w:ascii="arial" w:hAnsi="arial"/>
          <w:sz w:val="20"/>
        </w:rPr>
      </w:pPr>
      <w:r>
        <w:rPr>
          <w:rFonts w:ascii="arial" w:hAnsi="arial"/>
          <w:sz w:val="20"/>
        </w:rPr>
        <w:t xml:space="preserve">The Company has a “pay-for-performance” philosophy that forms the foundation of all decisions regarding compensation of the Company’s NEOs. We believe that this compensation philosophy, and the program structure approved by the Compensation Committee, is central to the Company’s ability to attract, motivate and retain individuals who can achieve superior financial results while also aligning the interests of the executives with the interests of shareholders over the long-term. This approach has resulted in the Company’s ability to attract and retain the executive talent deemed necessary to guide the Company successfully during a period of growth and transformation and react quickly to potential threats to the Company’s financial health. Please refer to “Compensation Discussion and Analysis—Executive Summary” for an overview of the compensation of the Company’s NEOs. </w:t>
      </w:r>
    </w:p>
    <w:p>
      <w:pPr>
        <w:pStyle w:val="TextBody"/>
        <w:bidi w:val="0"/>
        <w:spacing w:before="240" w:after="0"/>
        <w:jc w:val="left"/>
        <w:rPr>
          <w:rFonts w:ascii="arial" w:hAnsi="arial"/>
          <w:sz w:val="20"/>
        </w:rPr>
      </w:pPr>
      <w:r>
        <w:rPr>
          <w:rFonts w:ascii="arial" w:hAnsi="arial"/>
          <w:sz w:val="20"/>
        </w:rPr>
        <w:t xml:space="preserve">This vote is not intended to address any specific item of compensation, but rather the overall compensation of our NEOs and the policies and practices described in this Proxy Statement. At the Annual Meeting, shareholders will be asked to approve the compensation of the Company’s NEOs by voting FOR the following resolution: </w:t>
      </w:r>
    </w:p>
    <w:p>
      <w:pPr>
        <w:pStyle w:val="TextBody"/>
        <w:bidi w:val="0"/>
        <w:spacing w:before="120" w:after="0"/>
        <w:jc w:val="left"/>
        <w:rPr/>
      </w:pPr>
      <w:r>
        <w:rPr/>
        <w:t>“</w:t>
      </w:r>
      <w:r>
        <w:rPr>
          <w:rFonts w:ascii="arial" w:hAnsi="arial"/>
          <w:sz w:val="20"/>
        </w:rPr>
        <w:t xml:space="preserve">RESOLVED, that the Company’s shareholders approve, on an advisory basis, the compensation of the named executive officers, as disclosed in this Proxy Statement pursuant to the compensation disclosure rules of the SEC, including the Compensation Discussion and Analysis, the Summary Compensation Table and the other related tables and disclosure in this Proxy Statement.” </w:t>
      </w:r>
    </w:p>
    <w:p>
      <w:pPr>
        <w:pStyle w:val="TextBody"/>
        <w:bidi w:val="0"/>
        <w:spacing w:before="240" w:after="0"/>
        <w:jc w:val="left"/>
        <w:rPr>
          <w:rFonts w:ascii="arial" w:hAnsi="arial"/>
          <w:sz w:val="20"/>
        </w:rPr>
      </w:pPr>
      <w:r>
        <w:rPr>
          <w:rFonts w:ascii="arial" w:hAnsi="arial"/>
          <w:sz w:val="20"/>
        </w:rPr>
        <w:t xml:space="preserve">This vote is advisory and therefore not binding on the Company. The Board of Directors and Compensation Committee value the opinions of the Company’s shareholders. Should there be a significant vote against the NEO compensation as disclosed in this Proxy Statement, the Board will consider those shareholders’ concerns and will evaluate whether any actions are necessary to address those concerns. </w:t>
      </w:r>
    </w:p>
    <w:p>
      <w:pPr>
        <w:pStyle w:val="TextBody"/>
        <w:bidi w:val="0"/>
        <w:spacing w:before="240" w:after="0"/>
        <w:jc w:val="left"/>
        <w:rPr>
          <w:rFonts w:ascii="arial" w:hAnsi="arial"/>
          <w:sz w:val="20"/>
        </w:rPr>
      </w:pPr>
      <w:r>
        <w:rPr>
          <w:rFonts w:ascii="arial" w:hAnsi="arial"/>
          <w:sz w:val="20"/>
        </w:rPr>
        <w:t xml:space="preserve">This proposal will be approved if the votes cast favoring the action exceed the votes cast opposing the action.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60"/>
        <w:gridCol w:w="120"/>
        <w:gridCol w:w="9025"/>
      </w:tblGrid>
      <w:tr>
        <w:trPr/>
        <w:tc>
          <w:tcPr>
            <w:tcW w:w="1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25" w:type="dxa"/>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center"/>
              <w:rPr/>
            </w:pPr>
            <w:r>
              <w:rPr/>
              <w:drawing>
                <wp:inline distT="0" distB="0" distL="0" distR="0">
                  <wp:extent cx="656590" cy="687705"/>
                  <wp:effectExtent l="0" t="0" r="0" b="0"/>
                  <wp:docPr id="6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2" descr=""/>
                          <pic:cNvPicPr>
                            <a:picLocks noChangeAspect="1" noChangeArrowheads="1"/>
                          </pic:cNvPicPr>
                        </pic:nvPicPr>
                        <pic:blipFill>
                          <a:blip r:embed="rId63"/>
                          <a:stretch>
                            <a:fillRect/>
                          </a:stretch>
                        </pic:blipFill>
                        <pic:spPr bwMode="auto">
                          <a:xfrm>
                            <a:off x="0" y="0"/>
                            <a:ext cx="656590" cy="6877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283"/>
              <w:jc w:val="left"/>
              <w:rPr>
                <w:b/>
                <w:color w:val="004876"/>
              </w:rPr>
            </w:pPr>
            <w:r>
              <w:rPr>
                <w:b/>
                <w:color w:val="004876"/>
              </w:rPr>
              <w:t>The Board of Directors recommends a vote </w:t>
            </w:r>
            <w:r>
              <w:rPr>
                <w:b/>
                <w:color w:val="B99C16"/>
              </w:rPr>
              <w:t>“</w:t>
            </w:r>
            <w:r>
              <w:rPr>
                <w:b/>
                <w:color w:val="B99C16"/>
                <w:sz w:val="32"/>
              </w:rPr>
              <w:t>FOR”</w:t>
            </w:r>
            <w:r>
              <w:rPr>
                <w:b/>
                <w:color w:val="004876"/>
              </w:rPr>
              <w:t> the approval of the advisory resolution relating to the compensation of the Company’s Named Executive Officers as disclosed in this Proxy Statement.</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3" descr=""/>
                          <pic:cNvPicPr>
                            <a:picLocks noChangeAspect="1" noChangeArrowheads="1"/>
                          </pic:cNvPicPr>
                        </pic:nvPicPr>
                        <pic:blipFill>
                          <a:blip r:embed="rId64"/>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37" w:name="toc123994_35"/>
            <w:bookmarkEnd w:id="37"/>
            <w:r>
              <w:rPr>
                <w:rFonts w:ascii="arial" w:hAnsi="arial"/>
                <w:b/>
                <w:color w:val="004876"/>
                <w:sz w:val="48"/>
              </w:rPr>
              <w:t>COMPENSATION DISCUSSION AND ANALYSIS</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This Compensation Discussion and Analysis (our “CD&amp;A”) provides an overview of our executive compensation program for 2025 and our executive compensation philosophies and objectives. </w:t>
      </w:r>
    </w:p>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5450"/>
        <w:gridCol w:w="120"/>
        <w:gridCol w:w="60"/>
        <w:gridCol w:w="260"/>
        <w:gridCol w:w="75"/>
      </w:tblGrid>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90" w:type="dxa"/>
            <w:gridSpan w:val="4"/>
            <w:tcBorders/>
            <w:shd w:fill="004876" w:val="clear"/>
            <w:vAlign w:val="center"/>
          </w:tcPr>
          <w:p>
            <w:pPr>
              <w:pStyle w:val="TableContents"/>
              <w:bidi w:val="0"/>
              <w:spacing w:lineRule="atLeast" w:line="300" w:before="0" w:after="0"/>
              <w:jc w:val="center"/>
              <w:rPr>
                <w:rFonts w:ascii="arial" w:hAnsi="arial"/>
                <w:b/>
                <w:color w:val="FFFFFF"/>
                <w:sz w:val="20"/>
              </w:rPr>
            </w:pPr>
            <w:r>
              <w:rPr>
                <w:rFonts w:ascii="arial" w:hAnsi="arial"/>
                <w:b/>
                <w:color w:val="FFFFFF"/>
                <w:sz w:val="20"/>
              </w:rPr>
              <w:t>Table of Contents</w:t>
            </w:r>
          </w:p>
        </w:tc>
        <w:tc>
          <w:tcPr>
            <w:tcW w:w="75" w:type="dxa"/>
            <w:tcBorders/>
            <w:shd w:fill="004876" w:val="clear"/>
            <w:vAlign w:val="center"/>
          </w:tcPr>
          <w:p>
            <w:pPr>
              <w:pStyle w:val="TableContents"/>
              <w:bidi w:val="0"/>
              <w:spacing w:lineRule="atLeast" w:line="300" w:before="0" w:after="0"/>
              <w:jc w:val="left"/>
              <w:rPr>
                <w:color w:val="FFFFFF"/>
              </w:rPr>
            </w:pPr>
            <w:r>
              <w:rPr>
                <w:color w:val="FFFFFF"/>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pPr>
            <w:hyperlink w:anchor="txa123994_1">
              <w:r>
                <w:rPr>
                  <w:rStyle w:val="InternetLink"/>
                  <w:rFonts w:ascii="arial" w:hAnsi="arial"/>
                  <w:sz w:val="20"/>
                </w:rPr>
                <w:t>Executive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27</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2">
              <w:r>
                <w:rPr>
                  <w:rStyle w:val="InternetLink"/>
                  <w:rFonts w:ascii="arial" w:hAnsi="arial"/>
                  <w:sz w:val="20"/>
                </w:rPr>
                <w:t>2025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27</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3">
              <w:r>
                <w:rPr>
                  <w:rStyle w:val="InternetLink"/>
                  <w:rFonts w:ascii="arial" w:hAnsi="arial"/>
                  <w:sz w:val="20"/>
                </w:rPr>
                <w:t>Key 2025 Compensation 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29</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4">
              <w:r>
                <w:rPr>
                  <w:rStyle w:val="InternetLink"/>
                  <w:rFonts w:ascii="arial" w:hAnsi="arial"/>
                  <w:sz w:val="20"/>
                </w:rPr>
                <w:t>Executive Compensation Philosophy and Core Principles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30</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5">
              <w:r>
                <w:rPr>
                  <w:rStyle w:val="InternetLink"/>
                  <w:rFonts w:ascii="arial" w:hAnsi="arial"/>
                  <w:sz w:val="20"/>
                </w:rPr>
                <w:t>2025 “Say-on-Pay” Advisory Vote on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30</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6">
              <w:r>
                <w:rPr>
                  <w:rStyle w:val="InternetLink"/>
                  <w:rFonts w:ascii="arial" w:hAnsi="arial"/>
                  <w:sz w:val="20"/>
                </w:rPr>
                <w:t>Role of Management and Independent Advisors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30</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7">
              <w:r>
                <w:rPr>
                  <w:rStyle w:val="InternetLink"/>
                  <w:rFonts w:ascii="arial" w:hAnsi="arial"/>
                  <w:sz w:val="20"/>
                </w:rPr>
                <w:t>Factors Used to Evaluate Pay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31</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8">
              <w:r>
                <w:rPr>
                  <w:rStyle w:val="InternetLink"/>
                  <w:rFonts w:ascii="arial" w:hAnsi="arial"/>
                  <w:sz w:val="20"/>
                </w:rPr>
                <w:t>Non-Disclosure of Certain Metrics and Targets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32</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9">
              <w:r>
                <w:rPr>
                  <w:rStyle w:val="InternetLink"/>
                  <w:rFonts w:ascii="arial" w:hAnsi="arial"/>
                  <w:sz w:val="20"/>
                </w:rPr>
                <w:t>Components of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33</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10">
              <w:r>
                <w:rPr>
                  <w:rStyle w:val="InternetLink"/>
                  <w:rFonts w:ascii="arial" w:hAnsi="arial"/>
                  <w:sz w:val="20"/>
                </w:rPr>
                <w:t>Base Salary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33</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11">
              <w:r>
                <w:rPr>
                  <w:rStyle w:val="InternetLink"/>
                  <w:rFonts w:ascii="arial" w:hAnsi="arial"/>
                  <w:sz w:val="20"/>
                </w:rPr>
                <w:t>Executive Annual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34</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12">
              <w:r>
                <w:rPr>
                  <w:rStyle w:val="InternetLink"/>
                  <w:rFonts w:ascii="arial" w:hAnsi="arial"/>
                  <w:sz w:val="20"/>
                </w:rPr>
                <w:t>Long-Term Incentives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36</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13">
              <w:r>
                <w:rPr>
                  <w:rStyle w:val="InternetLink"/>
                  <w:rFonts w:ascii="arial" w:hAnsi="arial"/>
                  <w:sz w:val="20"/>
                </w:rPr>
                <w:t>Executive 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39</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14">
              <w:r>
                <w:rPr>
                  <w:rStyle w:val="InternetLink"/>
                  <w:rFonts w:ascii="arial" w:hAnsi="arial"/>
                  <w:sz w:val="20"/>
                </w:rPr>
                <w:t>Anti-Hedging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39</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15">
              <w:r>
                <w:rPr>
                  <w:rStyle w:val="InternetLink"/>
                  <w:rFonts w:ascii="arial" w:hAnsi="arial"/>
                  <w:sz w:val="20"/>
                </w:rPr>
                <w:t>Anti-Pledging and Margin Accounts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39</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16">
              <w:r>
                <w:rPr>
                  <w:rStyle w:val="InternetLink"/>
                  <w:rFonts w:ascii="arial" w:hAnsi="arial"/>
                  <w:sz w:val="20"/>
                </w:rPr>
                <w:t>Clawback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40</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vAlign w:val="center"/>
          </w:tcPr>
          <w:p>
            <w:pPr>
              <w:pStyle w:val="TableContents"/>
              <w:bidi w:val="0"/>
              <w:spacing w:before="0" w:after="0"/>
              <w:jc w:val="left"/>
              <w:rPr/>
            </w:pPr>
            <w:hyperlink w:anchor="txa123994_17">
              <w:r>
                <w:rPr>
                  <w:rStyle w:val="InternetLink"/>
                  <w:rFonts w:ascii="arial" w:hAnsi="arial"/>
                  <w:sz w:val="20"/>
                </w:rPr>
                <w:t>Deferred Compensation and Other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4876"/>
              </w:rPr>
            </w:pPr>
            <w:r>
              <w:rPr>
                <w:color w:val="004876"/>
              </w:rPr>
              <w:t> </w:t>
            </w:r>
          </w:p>
        </w:tc>
        <w:tc>
          <w:tcPr>
            <w:tcW w:w="260" w:type="dxa"/>
            <w:tcBorders/>
            <w:vAlign w:val="center"/>
          </w:tcPr>
          <w:p>
            <w:pPr>
              <w:pStyle w:val="TableContents"/>
              <w:bidi w:val="0"/>
              <w:spacing w:before="0" w:after="283"/>
              <w:jc w:val="right"/>
              <w:rPr>
                <w:color w:val="004876"/>
              </w:rPr>
            </w:pPr>
            <w:r>
              <w:rPr>
                <w:color w:val="004876"/>
              </w:rPr>
              <w:t>40</w:t>
            </w:r>
          </w:p>
        </w:tc>
        <w:tc>
          <w:tcPr>
            <w:tcW w:w="75" w:type="dxa"/>
            <w:tcBorders/>
            <w:vAlign w:val="center"/>
          </w:tcPr>
          <w:p>
            <w:pPr>
              <w:pStyle w:val="TableContents"/>
              <w:bidi w:val="0"/>
              <w:spacing w:before="0" w:after="283"/>
              <w:jc w:val="left"/>
              <w:rPr>
                <w:color w:val="004876"/>
              </w:rPr>
            </w:pPr>
            <w:r>
              <w:rPr>
                <w:color w:val="004876"/>
              </w:rPr>
              <w:t> </w:t>
            </w:r>
          </w:p>
        </w:tc>
      </w:tr>
      <w:tr>
        <w:trPr/>
        <w:tc>
          <w:tcPr>
            <w:tcW w:w="5450" w:type="dxa"/>
            <w:tcBorders>
              <w:bottom w:val="single" w:sz="6" w:space="0" w:color="B99C16"/>
            </w:tcBorders>
            <w:tcMar>
              <w:bottom w:w="40" w:type="dxa"/>
            </w:tcMar>
            <w:vAlign w:val="center"/>
          </w:tcPr>
          <w:p>
            <w:pPr>
              <w:pStyle w:val="TableContents"/>
              <w:bidi w:val="0"/>
              <w:spacing w:before="0" w:after="0"/>
              <w:jc w:val="left"/>
              <w:rPr/>
            </w:pPr>
            <w:hyperlink w:anchor="txa123994_18">
              <w:r>
                <w:rPr>
                  <w:rStyle w:val="InternetLink"/>
                  <w:rFonts w:ascii="arial" w:hAnsi="arial"/>
                  <w:sz w:val="20"/>
                </w:rPr>
                <w:t>Compensation Committee Report</w:t>
              </w:r>
            </w:hyperlink>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40" w:type="dxa"/>
            </w:tcMar>
            <w:vAlign w:val="center"/>
          </w:tcPr>
          <w:p>
            <w:pPr>
              <w:pStyle w:val="TableContents"/>
              <w:bidi w:val="0"/>
              <w:spacing w:before="0" w:after="283"/>
              <w:jc w:val="left"/>
              <w:rPr>
                <w:color w:val="004876"/>
              </w:rPr>
            </w:pPr>
            <w:r>
              <w:rPr>
                <w:color w:val="004876"/>
              </w:rPr>
              <w:t> </w:t>
            </w:r>
          </w:p>
        </w:tc>
        <w:tc>
          <w:tcPr>
            <w:tcW w:w="260" w:type="dxa"/>
            <w:tcBorders>
              <w:bottom w:val="single" w:sz="6" w:space="0" w:color="B99C16"/>
            </w:tcBorders>
            <w:tcMar>
              <w:bottom w:w="40" w:type="dxa"/>
            </w:tcMar>
            <w:vAlign w:val="center"/>
          </w:tcPr>
          <w:p>
            <w:pPr>
              <w:pStyle w:val="TableContents"/>
              <w:bidi w:val="0"/>
              <w:spacing w:before="0" w:after="283"/>
              <w:jc w:val="right"/>
              <w:rPr>
                <w:color w:val="004876"/>
              </w:rPr>
            </w:pPr>
            <w:r>
              <w:rPr>
                <w:color w:val="004876"/>
              </w:rPr>
              <w:t>41</w:t>
            </w:r>
          </w:p>
        </w:tc>
        <w:tc>
          <w:tcPr>
            <w:tcW w:w="75" w:type="dxa"/>
            <w:tcBorders>
              <w:bottom w:val="single" w:sz="6" w:space="0" w:color="B99C16"/>
            </w:tcBorders>
            <w:tcMar>
              <w:bottom w:w="40" w:type="dxa"/>
            </w:tcMar>
            <w:vAlign w:val="center"/>
          </w:tcPr>
          <w:p>
            <w:pPr>
              <w:pStyle w:val="TableContents"/>
              <w:bidi w:val="0"/>
              <w:spacing w:before="0" w:after="283"/>
              <w:jc w:val="left"/>
              <w:rPr>
                <w:color w:val="004876"/>
              </w:rPr>
            </w:pPr>
            <w:r>
              <w:rPr>
                <w:color w:val="004876"/>
              </w:rPr>
              <w:t> </w:t>
            </w:r>
          </w:p>
        </w:tc>
      </w:tr>
    </w:tbl>
    <w:p>
      <w:pPr>
        <w:pStyle w:val="TextBody"/>
        <w:bidi w:val="0"/>
        <w:spacing w:before="240" w:after="0"/>
        <w:jc w:val="left"/>
        <w:rPr>
          <w:rFonts w:ascii="arial" w:hAnsi="arial"/>
          <w:sz w:val="20"/>
        </w:rPr>
      </w:pPr>
      <w:r>
        <w:rPr>
          <w:rFonts w:ascii="arial" w:hAnsi="arial"/>
          <w:sz w:val="20"/>
        </w:rPr>
        <w:t xml:space="preserve">Our NEOs were: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90"/>
        <w:gridCol w:w="60"/>
        <w:gridCol w:w="1519"/>
        <w:gridCol w:w="60"/>
        <w:gridCol w:w="1694"/>
        <w:gridCol w:w="60"/>
        <w:gridCol w:w="1648"/>
        <w:gridCol w:w="60"/>
        <w:gridCol w:w="3014"/>
      </w:tblGrid>
      <w:tr>
        <w:trPr/>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center"/>
              <w:rPr>
                <w:rFonts w:ascii="arial" w:hAnsi="arial"/>
                <w:b/>
                <w:color w:val="004876"/>
                <w:sz w:val="20"/>
              </w:rPr>
            </w:pPr>
            <w:r>
              <w:rPr>
                <w:rFonts w:ascii="arial" w:hAnsi="arial"/>
                <w:b/>
                <w:color w:val="004876"/>
                <w:sz w:val="20"/>
              </w:rPr>
              <w:t>William C. Carstanjen  </w:t>
            </w:r>
          </w:p>
          <w:p>
            <w:pPr>
              <w:pStyle w:val="TableContents"/>
              <w:bidi w:val="0"/>
              <w:spacing w:before="0" w:after="20"/>
              <w:jc w:val="center"/>
              <w:rPr>
                <w:rFonts w:ascii="arial" w:hAnsi="arial"/>
                <w:sz w:val="18"/>
              </w:rPr>
            </w:pPr>
            <w:r>
              <w:rPr>
                <w:rFonts w:ascii="arial" w:hAnsi="arial"/>
                <w:sz w:val="18"/>
              </w:rPr>
              <w:t>Chief Executive Officer </w:t>
            </w:r>
          </w:p>
        </w:tc>
        <w:tc>
          <w:tcPr>
            <w:tcW w:w="60" w:type="dxa"/>
            <w:tcBorders>
              <w:left w:val="single" w:sz="6" w:space="0" w:color="B99C16"/>
            </w:tcBorders>
            <w:tcMar>
              <w:left w:w="28" w:type="dxa"/>
            </w:tcMar>
            <w:vAlign w:val="center"/>
          </w:tcPr>
          <w:p>
            <w:pPr>
              <w:pStyle w:val="TableContents"/>
              <w:bidi w:val="0"/>
              <w:spacing w:before="0" w:after="283"/>
              <w:jc w:val="left"/>
              <w:rPr/>
            </w:pPr>
            <w:r>
              <w:rPr/>
              <w:t> </w:t>
            </w:r>
          </w:p>
        </w:tc>
        <w:tc>
          <w:tcPr>
            <w:tcW w:w="1519" w:type="dxa"/>
            <w:tcBorders/>
            <w:vAlign w:val="center"/>
          </w:tcPr>
          <w:p>
            <w:pPr>
              <w:pStyle w:val="TableContents"/>
              <w:bidi w:val="0"/>
              <w:spacing w:before="0" w:after="0"/>
              <w:jc w:val="center"/>
              <w:rPr>
                <w:rFonts w:ascii="arial" w:hAnsi="arial"/>
                <w:b/>
                <w:color w:val="004876"/>
                <w:sz w:val="20"/>
              </w:rPr>
            </w:pPr>
            <w:r>
              <w:rPr>
                <w:rFonts w:ascii="arial" w:hAnsi="arial"/>
                <w:b/>
                <w:color w:val="004876"/>
                <w:sz w:val="20"/>
              </w:rPr>
              <w:t>William E. Mudd  </w:t>
            </w:r>
          </w:p>
          <w:p>
            <w:pPr>
              <w:pStyle w:val="TableContents"/>
              <w:bidi w:val="0"/>
              <w:spacing w:before="0" w:after="0"/>
              <w:jc w:val="center"/>
              <w:rPr>
                <w:rFonts w:ascii="arial" w:hAnsi="arial"/>
                <w:sz w:val="18"/>
              </w:rPr>
            </w:pPr>
            <w:r>
              <w:rPr>
                <w:rFonts w:ascii="arial" w:hAnsi="arial"/>
                <w:sz w:val="18"/>
              </w:rPr>
              <w:t>President and </w:t>
            </w:r>
          </w:p>
          <w:p>
            <w:pPr>
              <w:pStyle w:val="TableContents"/>
              <w:bidi w:val="0"/>
              <w:spacing w:before="0" w:after="20"/>
              <w:jc w:val="center"/>
              <w:rPr>
                <w:rFonts w:ascii="arial" w:hAnsi="arial"/>
                <w:sz w:val="18"/>
              </w:rPr>
            </w:pPr>
            <w:r>
              <w:rPr>
                <w:rFonts w:ascii="arial" w:hAnsi="arial"/>
                <w:sz w:val="18"/>
              </w:rPr>
              <w:t>Chief Operating Officer </w:t>
            </w:r>
          </w:p>
        </w:tc>
        <w:tc>
          <w:tcPr>
            <w:tcW w:w="60" w:type="dxa"/>
            <w:tcBorders>
              <w:left w:val="single" w:sz="6" w:space="0" w:color="B99C16"/>
            </w:tcBorders>
            <w:tcMar>
              <w:left w:w="28" w:type="dxa"/>
            </w:tcMar>
            <w:vAlign w:val="center"/>
          </w:tcPr>
          <w:p>
            <w:pPr>
              <w:pStyle w:val="TableContents"/>
              <w:bidi w:val="0"/>
              <w:spacing w:before="0" w:after="283"/>
              <w:jc w:val="left"/>
              <w:rPr/>
            </w:pPr>
            <w:r>
              <w:rPr/>
              <w:t> </w:t>
            </w:r>
          </w:p>
        </w:tc>
        <w:tc>
          <w:tcPr>
            <w:tcW w:w="1694" w:type="dxa"/>
            <w:tcBorders/>
            <w:vAlign w:val="center"/>
          </w:tcPr>
          <w:p>
            <w:pPr>
              <w:pStyle w:val="TableContents"/>
              <w:bidi w:val="0"/>
              <w:spacing w:before="0" w:after="0"/>
              <w:jc w:val="center"/>
              <w:rPr>
                <w:rFonts w:ascii="arial" w:hAnsi="arial"/>
                <w:b/>
                <w:color w:val="004876"/>
                <w:sz w:val="20"/>
              </w:rPr>
            </w:pPr>
            <w:r>
              <w:rPr>
                <w:rFonts w:ascii="arial" w:hAnsi="arial"/>
                <w:b/>
                <w:color w:val="004876"/>
                <w:sz w:val="20"/>
              </w:rPr>
              <w:t>Marcia A. Dall  </w:t>
            </w:r>
          </w:p>
          <w:p>
            <w:pPr>
              <w:pStyle w:val="TableContents"/>
              <w:bidi w:val="0"/>
              <w:spacing w:before="0" w:after="0"/>
              <w:jc w:val="center"/>
              <w:rPr>
                <w:rFonts w:ascii="arial" w:hAnsi="arial"/>
                <w:sz w:val="18"/>
              </w:rPr>
            </w:pPr>
            <w:r>
              <w:rPr>
                <w:rFonts w:ascii="arial" w:hAnsi="arial"/>
                <w:sz w:val="18"/>
              </w:rPr>
              <w:t>Executive Vice President </w:t>
            </w:r>
          </w:p>
          <w:p>
            <w:pPr>
              <w:pStyle w:val="TableContents"/>
              <w:bidi w:val="0"/>
              <w:spacing w:before="0" w:after="20"/>
              <w:jc w:val="center"/>
              <w:rPr>
                <w:rFonts w:ascii="arial" w:hAnsi="arial"/>
                <w:sz w:val="18"/>
              </w:rPr>
            </w:pPr>
            <w:r>
              <w:rPr>
                <w:rFonts w:ascii="arial" w:hAnsi="arial"/>
                <w:sz w:val="18"/>
              </w:rPr>
              <w:t>and Chief Financial Officer </w:t>
            </w:r>
          </w:p>
        </w:tc>
        <w:tc>
          <w:tcPr>
            <w:tcW w:w="60" w:type="dxa"/>
            <w:tcBorders>
              <w:left w:val="single" w:sz="6" w:space="0" w:color="B99C16"/>
            </w:tcBorders>
            <w:tcMar>
              <w:left w:w="28" w:type="dxa"/>
            </w:tcMar>
            <w:vAlign w:val="center"/>
          </w:tcPr>
          <w:p>
            <w:pPr>
              <w:pStyle w:val="TableContents"/>
              <w:bidi w:val="0"/>
              <w:spacing w:before="0" w:after="283"/>
              <w:jc w:val="left"/>
              <w:rPr/>
            </w:pPr>
            <w:r>
              <w:rPr/>
              <w:t> </w:t>
            </w:r>
          </w:p>
        </w:tc>
        <w:tc>
          <w:tcPr>
            <w:tcW w:w="1648" w:type="dxa"/>
            <w:tcBorders/>
            <w:vAlign w:val="center"/>
          </w:tcPr>
          <w:p>
            <w:pPr>
              <w:pStyle w:val="TableContents"/>
              <w:bidi w:val="0"/>
              <w:spacing w:before="0" w:after="0"/>
              <w:jc w:val="center"/>
              <w:rPr>
                <w:rFonts w:ascii="arial" w:hAnsi="arial"/>
                <w:b/>
                <w:color w:val="004876"/>
                <w:sz w:val="20"/>
              </w:rPr>
            </w:pPr>
            <w:r>
              <w:rPr>
                <w:rFonts w:ascii="arial" w:hAnsi="arial"/>
                <w:b/>
                <w:color w:val="004876"/>
                <w:sz w:val="20"/>
              </w:rPr>
              <w:t>Bradley K. Blackwell  </w:t>
            </w:r>
          </w:p>
          <w:p>
            <w:pPr>
              <w:pStyle w:val="TableContents"/>
              <w:bidi w:val="0"/>
              <w:spacing w:before="0" w:after="0"/>
              <w:jc w:val="center"/>
              <w:rPr>
                <w:rFonts w:ascii="arial" w:hAnsi="arial"/>
                <w:sz w:val="18"/>
              </w:rPr>
            </w:pPr>
            <w:r>
              <w:rPr>
                <w:rFonts w:ascii="arial" w:hAnsi="arial"/>
                <w:sz w:val="18"/>
              </w:rPr>
              <w:t>Executive Vice President </w:t>
            </w:r>
          </w:p>
          <w:p>
            <w:pPr>
              <w:pStyle w:val="TableContents"/>
              <w:bidi w:val="0"/>
              <w:spacing w:before="0" w:after="20"/>
              <w:jc w:val="center"/>
              <w:rPr>
                <w:rFonts w:ascii="arial" w:hAnsi="arial"/>
                <w:sz w:val="18"/>
              </w:rPr>
            </w:pPr>
            <w:r>
              <w:rPr>
                <w:rFonts w:ascii="arial" w:hAnsi="arial"/>
                <w:sz w:val="18"/>
              </w:rPr>
              <w:t>and General Counsel </w:t>
            </w:r>
          </w:p>
        </w:tc>
        <w:tc>
          <w:tcPr>
            <w:tcW w:w="60" w:type="dxa"/>
            <w:tcBorders>
              <w:left w:val="single" w:sz="6" w:space="0" w:color="B99C16"/>
            </w:tcBorders>
            <w:tcMar>
              <w:left w:w="28" w:type="dxa"/>
            </w:tcMar>
            <w:vAlign w:val="center"/>
          </w:tcPr>
          <w:p>
            <w:pPr>
              <w:pStyle w:val="TableContents"/>
              <w:bidi w:val="0"/>
              <w:spacing w:before="0" w:after="283"/>
              <w:jc w:val="left"/>
              <w:rPr/>
            </w:pPr>
            <w:r>
              <w:rPr/>
              <w:t> </w:t>
            </w:r>
          </w:p>
        </w:tc>
        <w:tc>
          <w:tcPr>
            <w:tcW w:w="3014" w:type="dxa"/>
            <w:tcBorders/>
            <w:vAlign w:val="center"/>
          </w:tcPr>
          <w:p>
            <w:pPr>
              <w:pStyle w:val="TableContents"/>
              <w:bidi w:val="0"/>
              <w:spacing w:before="0" w:after="0"/>
              <w:jc w:val="center"/>
              <w:rPr>
                <w:rFonts w:ascii="arial" w:hAnsi="arial"/>
                <w:b/>
                <w:color w:val="004876"/>
                <w:sz w:val="20"/>
              </w:rPr>
            </w:pPr>
            <w:r>
              <w:rPr>
                <w:rFonts w:ascii="arial" w:hAnsi="arial"/>
                <w:b/>
                <w:color w:val="004876"/>
                <w:sz w:val="20"/>
              </w:rPr>
              <w:t>Maureen Adams(1)</w:t>
            </w:r>
          </w:p>
          <w:p>
            <w:pPr>
              <w:pStyle w:val="TableContents"/>
              <w:bidi w:val="0"/>
              <w:spacing w:before="0" w:after="20"/>
              <w:jc w:val="center"/>
              <w:rPr>
                <w:rFonts w:ascii="arial" w:hAnsi="arial"/>
                <w:sz w:val="18"/>
              </w:rPr>
            </w:pPr>
            <w:r>
              <w:rPr>
                <w:rFonts w:ascii="arial" w:hAnsi="arial"/>
                <w:sz w:val="18"/>
              </w:rPr>
              <w:t>Former Executive Vice President, Gaming Operations</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305"/>
        <w:gridCol w:w="5975"/>
      </w:tblGrid>
      <w:tr>
        <w:trPr/>
        <w:tc>
          <w:tcPr>
            <w:tcW w:w="305" w:type="dxa"/>
            <w:tcBorders/>
            <w:vAlign w:val="center"/>
          </w:tcPr>
          <w:p>
            <w:pPr>
              <w:pStyle w:val="TableContents"/>
              <w:bidi w:val="0"/>
              <w:spacing w:before="0" w:after="283"/>
              <w:jc w:val="left"/>
              <w:rPr/>
            </w:pPr>
            <w:r>
              <w:rPr/>
              <w:t>(1)</w:t>
            </w:r>
          </w:p>
        </w:tc>
        <w:tc>
          <w:tcPr>
            <w:tcW w:w="5975" w:type="dxa"/>
            <w:tcBorders/>
            <w:vAlign w:val="center"/>
          </w:tcPr>
          <w:p>
            <w:pPr>
              <w:pStyle w:val="TableContents"/>
              <w:bidi w:val="0"/>
              <w:spacing w:before="0" w:after="0"/>
              <w:jc w:val="left"/>
              <w:rPr>
                <w:rFonts w:ascii="arial" w:hAnsi="arial"/>
                <w:sz w:val="18"/>
              </w:rPr>
            </w:pPr>
            <w:r>
              <w:rPr>
                <w:rFonts w:ascii="arial" w:hAnsi="arial"/>
                <w:sz w:val="18"/>
              </w:rPr>
              <w:t xml:space="preserve">Maureen Adams retired from the Company effective December 31, 2025.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26</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4" descr=""/>
                          <pic:cNvPicPr>
                            <a:picLocks noChangeAspect="1" noChangeArrowheads="1"/>
                          </pic:cNvPicPr>
                        </pic:nvPicPr>
                        <pic:blipFill>
                          <a:blip r:embed="rId65"/>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004876"/>
          <w:sz w:val="20"/>
        </w:rPr>
      </w:pPr>
      <w:bookmarkStart w:id="38" w:name="toc123994_36"/>
      <w:bookmarkStart w:id="39" w:name="txa123994_1"/>
      <w:bookmarkEnd w:id="38"/>
      <w:bookmarkEnd w:id="39"/>
      <w:r>
        <w:rPr>
          <w:rFonts w:ascii="arial" w:hAnsi="arial"/>
          <w:b/>
          <w:color w:val="004876"/>
          <w:sz w:val="20"/>
        </w:rPr>
        <w:t xml:space="preserve">Executive Summary </w:t>
      </w:r>
    </w:p>
    <w:p>
      <w:pPr>
        <w:pStyle w:val="TextBody"/>
        <w:bidi w:val="0"/>
        <w:spacing w:before="120" w:after="0"/>
        <w:jc w:val="left"/>
        <w:rPr>
          <w:rFonts w:ascii="arial" w:hAnsi="arial"/>
          <w:sz w:val="20"/>
        </w:rPr>
      </w:pPr>
      <w:r>
        <w:rPr>
          <w:rFonts w:ascii="arial" w:hAnsi="arial"/>
          <w:sz w:val="20"/>
        </w:rPr>
        <w:t xml:space="preserve">The Company has been creating extraordinary entertainment experiences for over 150 years, beginning with the Company’s most iconic and enduring asset, the Kentucky Derby. Headquartered in Louisville, Kentucky, the Company has expanded through the acquisition, development, and operation of live and historical racing entertainment venues, the growth of the online wagering businesses, and the acquisition, development, and operation of regional casino gaming properties. Our long-term success depends on our ability to attract, engage, motivate and retain highly talented executives and key employees to achieve our strategic plans and deliver financial returns to shareholders over both the short-term and long-term. One of the key objectives of our executive compensation program is to link executives’ pay to their performance and their advancement of the Company’s long-term performance and business strategies. Other objectives include aligning the executives’ interests with those of shareholders and encouraging high-performing executives to remain with the Company over the course of their careers. We believe that the amount of compensation for each NEO reflects each individual’s extensive management experience, high performance and exceptional service to the Company and our shareholders. We also believe that the Company’s compensation strategies have been effective in attracting executive talent and promoting performance and retention. </w:t>
      </w:r>
    </w:p>
    <w:p>
      <w:pPr>
        <w:pStyle w:val="TextBody"/>
        <w:bidi w:val="0"/>
        <w:spacing w:before="240" w:after="0"/>
        <w:jc w:val="left"/>
        <w:rPr>
          <w:rFonts w:ascii="arial" w:hAnsi="arial"/>
          <w:sz w:val="20"/>
        </w:rPr>
      </w:pPr>
      <w:r>
        <w:rPr>
          <w:rFonts w:ascii="arial" w:hAnsi="arial"/>
          <w:sz w:val="20"/>
        </w:rPr>
        <w:t xml:space="preserve">This CD&amp;A describes the Company’s executive compensation policies and programs and how these policies and programs apply to our NEOs. It also describes the actions and decisions of the Compensation Committee (or, in this CD&amp;A and related tables, “Committee”), which oversees the executive compensation program and determines the compensation of the NEOs. A detailed discussion of the Committee’s structure, roles and responsibilities, and related matters can be found under “Compensation Committee” on pages 17-19. </w:t>
      </w:r>
    </w:p>
    <w:p>
      <w:pPr>
        <w:pStyle w:val="TextBody"/>
        <w:bidi w:val="0"/>
        <w:spacing w:before="240" w:after="0"/>
        <w:jc w:val="left"/>
        <w:rPr>
          <w:rFonts w:ascii="arial" w:hAnsi="arial"/>
          <w:sz w:val="20"/>
        </w:rPr>
      </w:pPr>
      <w:r>
        <w:rPr>
          <w:rFonts w:ascii="arial" w:hAnsi="arial"/>
          <w:sz w:val="20"/>
        </w:rPr>
        <w:t xml:space="preserve">Our long-term incentive goals are based on operational results that the Committee believes help drive Company and shareholder success over multi-year performance periods. Certain metrics the Company uses for incentive purposes are as follows (Please refer to “Item 7. Management’s Discussion and Analysis of Financial Condition and Results of Operations” in the Company’s Form 10-K for the fiscal year ended December 31, 2025 for reconciliation of these metrics to the most directly comparable GAAP measures, and the discussion of the Company’s Executive Annual Incentive Plan (“EAIP”) beginning on page 34 and the Company’s Executive Long-Term Incentive Plan (“ELTI”) beginning on page 36):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Adjusted EBITDA</w:t>
            </w:r>
            <w:r>
              <w:rPr>
                <w:rFonts w:ascii="arial" w:hAnsi="arial"/>
                <w:sz w:val="20"/>
              </w:rPr>
              <w:t xml:space="preserve">—Adjusted EBITDA used for compensation purposes under the EAIP in fiscal year 2025 was $1,205.3 million, which is approximately 100.8% of the Adjusted EBITDA target of $1,195.5 million under the EAIP;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Cash Flow Metric</w:t>
            </w:r>
            <w:r>
              <w:rPr>
                <w:rFonts w:ascii="arial" w:hAnsi="arial"/>
                <w:sz w:val="20"/>
              </w:rPr>
              <w:t xml:space="preserve">—Cash Flow Metric for compensation purposes for the three-year performance for our 2023 performance stock units (“PSUs”) under the ELTI was $1,903.8 million, which is approximately 117.4% of the Cash Flow Metric target of $1,621.0 million under the ELTI;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Total Shareholder Return</w:t>
            </w:r>
            <w:r>
              <w:rPr>
                <w:rFonts w:ascii="arial" w:hAnsi="arial"/>
                <w:sz w:val="20"/>
              </w:rPr>
              <w:t>—Total Shareholder Return from January 1, 2023 to December 31, 2025, the three-year performance period for our 2023 PSUs under the Company’s ELTI, was 7%.</w:t>
            </w:r>
          </w:p>
        </w:tc>
      </w:tr>
    </w:tbl>
    <w:p>
      <w:pPr>
        <w:pStyle w:val="TextBody"/>
        <w:bidi w:val="0"/>
        <w:spacing w:before="360" w:after="0"/>
        <w:jc w:val="left"/>
        <w:rPr>
          <w:rFonts w:ascii="arial" w:hAnsi="arial"/>
          <w:b/>
          <w:color w:val="004876"/>
          <w:sz w:val="20"/>
        </w:rPr>
      </w:pPr>
      <w:bookmarkStart w:id="40" w:name="toc123994_37"/>
      <w:bookmarkStart w:id="41" w:name="txa123994_2"/>
      <w:bookmarkEnd w:id="40"/>
      <w:bookmarkEnd w:id="41"/>
      <w:r>
        <w:rPr>
          <w:rFonts w:ascii="arial" w:hAnsi="arial"/>
          <w:b/>
          <w:color w:val="004876"/>
          <w:sz w:val="20"/>
        </w:rPr>
        <w:t xml:space="preserve">2025 Highlights </w:t>
      </w:r>
    </w:p>
    <w:p>
      <w:pPr>
        <w:pStyle w:val="TextBody"/>
        <w:bidi w:val="0"/>
        <w:spacing w:before="120" w:after="0"/>
        <w:jc w:val="left"/>
        <w:rPr>
          <w:rFonts w:ascii="arial" w:hAnsi="arial"/>
          <w:sz w:val="20"/>
        </w:rPr>
      </w:pPr>
      <w:r>
        <w:rPr>
          <w:rFonts w:ascii="arial" w:hAnsi="arial"/>
          <w:sz w:val="20"/>
        </w:rPr>
        <w:t xml:space="preserve">In 2025, we delivered strong performance and made investments in the Kentucky Derby and new entertainment venues that we believe will provide long-term sustainable value creation for our shareholders. </w:t>
      </w:r>
    </w:p>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185"/>
        <w:gridCol w:w="60"/>
        <w:gridCol w:w="557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arial" w:hAnsi="arial"/>
                <w:sz w:val="20"/>
              </w:rPr>
            </w:pPr>
            <w:r>
              <w:rPr>
                <w:rFonts w:ascii="arial" w:hAnsi="arial"/>
                <w:sz w:val="20"/>
              </w:rPr>
              <w:t xml:space="preserve">Record net revenue was $2.9 billion, up $191.6 million or 7.0%;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185"/>
        <w:gridCol w:w="60"/>
        <w:gridCol w:w="5375"/>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 xml:space="preserve">Net income was $383.0 million, down $43.8 million or 10.3%;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185"/>
        <w:gridCol w:w="60"/>
        <w:gridCol w:w="602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arial" w:hAnsi="arial"/>
                <w:sz w:val="20"/>
              </w:rPr>
            </w:pPr>
            <w:r>
              <w:rPr>
                <w:rFonts w:ascii="arial" w:hAnsi="arial"/>
                <w:sz w:val="20"/>
              </w:rPr>
              <w:t xml:space="preserve">Record adjusted EBITDA was $1.2 billion, up $46.1 million, or 4.0%; </w:t>
            </w:r>
          </w:p>
        </w:tc>
      </w:tr>
    </w:tbl>
    <w:p>
      <w:pPr>
        <w:pStyle w:val="TextBody"/>
        <w:bidi w:val="0"/>
        <w:spacing w:before="240" w:after="0"/>
        <w:jc w:val="left"/>
        <w:rPr>
          <w:rFonts w:ascii="arial" w:hAnsi="arial"/>
          <w:i/>
          <w:sz w:val="20"/>
        </w:rPr>
      </w:pPr>
      <w:r>
        <w:rPr>
          <w:rFonts w:ascii="arial" w:hAnsi="arial"/>
          <w:i/>
          <w:sz w:val="20"/>
          <w:u w:val="single"/>
        </w:rPr>
        <w:t>Live and Historical Racing Segment:</w:t>
      </w:r>
      <w:r>
        <w:rPr>
          <w:rFonts w:ascii="arial" w:hAnsi="arial"/>
          <w:i/>
          <w:sz w:val="20"/>
        </w:rPr>
        <w:t xml:space="preserve"> </w:t>
      </w:r>
    </w:p>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185"/>
        <w:gridCol w:w="60"/>
        <w:gridCol w:w="758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arial" w:hAnsi="arial"/>
                <w:sz w:val="20"/>
              </w:rPr>
            </w:pPr>
            <w:r>
              <w:rPr>
                <w:rFonts w:ascii="arial" w:hAnsi="arial"/>
                <w:sz w:val="20"/>
              </w:rPr>
              <w:t xml:space="preserve">Adjusted EBITDA was $637.0 million, up $62.4 million or 10.9% from fiscal year 2024. </w:t>
            </w:r>
          </w:p>
        </w:tc>
      </w:tr>
    </w:tbl>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185"/>
        <w:gridCol w:w="60"/>
        <w:gridCol w:w="266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rFonts w:ascii="arial" w:hAnsi="arial"/>
                <w:sz w:val="20"/>
              </w:rPr>
            </w:pPr>
            <w:r>
              <w:rPr>
                <w:rFonts w:ascii="arial" w:hAnsi="arial"/>
                <w:b/>
                <w:sz w:val="20"/>
              </w:rPr>
              <w:t>Churchill Downs Racetrack</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Churchill Downs Racetrack ran the 151st Kentucky Derby on the first Saturday of May, generating all-time handle record for the Kentucky Derby Race, Kentucky Derby Day Program, and Kentucky Derby Week races with nearly 147,000 fans gathered in person to watch the most exciting two minutes in sports.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The Starting Gate Pavilion and Courtyard was completed for the 151st running of the Kentucky Derby. The renovations updated seating options and created a more upscale social environment with new concessions, bars, and wagering windows.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6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5" descr=""/>
                          <pic:cNvPicPr>
                            <a:picLocks noChangeAspect="1" noChangeArrowheads="1"/>
                          </pic:cNvPicPr>
                        </pic:nvPicPr>
                        <pic:blipFill>
                          <a:blip r:embed="rId66"/>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260"/>
        <w:gridCol w:w="929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0"/>
              <w:jc w:val="left"/>
              <w:rPr>
                <w:rFonts w:ascii="arial" w:hAnsi="arial"/>
                <w:sz w:val="20"/>
              </w:rPr>
            </w:pPr>
            <w:r>
              <w:rPr>
                <w:rFonts w:ascii="arial" w:hAnsi="arial"/>
                <w:sz w:val="20"/>
              </w:rPr>
              <w:t xml:space="preserve">We announced NBC Sports will showcase the Kentucky Oaks in prime time for the first time ever in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We are investing up to $30.0 million to renovate the existing Finish Line Suites and The Mansion for the 152nd Kentucky Derby in May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We are investing $280.0 to $300.0 million to build a new building on the first turn of the Churchill Downs Racetrack between the First Turn Club and the Skye Terrace. The Company anticipates construction of this new building will begin following the 2026 Kentucky Derby and will be completed by the 2028 Kentucky Derby. </w:t>
            </w:r>
          </w:p>
        </w:tc>
      </w:tr>
    </w:tbl>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185"/>
        <w:gridCol w:w="60"/>
        <w:gridCol w:w="101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rFonts w:ascii="arial" w:hAnsi="arial"/>
                <w:sz w:val="20"/>
              </w:rPr>
            </w:pPr>
            <w:r>
              <w:rPr>
                <w:rFonts w:ascii="arial" w:hAnsi="arial"/>
                <w:b/>
                <w:sz w:val="20"/>
              </w:rPr>
              <w:t>Kentucky:</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0"/>
              <w:jc w:val="left"/>
              <w:rPr>
                <w:rFonts w:ascii="arial" w:hAnsi="arial"/>
                <w:sz w:val="20"/>
              </w:rPr>
            </w:pPr>
            <w:r>
              <w:rPr>
                <w:rFonts w:ascii="arial" w:hAnsi="arial"/>
                <w:b/>
                <w:sz w:val="20"/>
              </w:rPr>
              <w:t xml:space="preserve">Western Kentucky: </w:t>
            </w:r>
            <w:r>
              <w:rPr>
                <w:rFonts w:ascii="arial" w:hAnsi="arial"/>
                <w:sz w:val="20"/>
              </w:rPr>
              <w:t xml:space="preserve">Opened Owensboro Racing &amp; Gaming in Owensboro, Kentucky in February 2025 with 600 HRMs, food and beverage offerings, a retail sportsbook, and a simulcast wagering area.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0"/>
              <w:jc w:val="left"/>
              <w:rPr>
                <w:rFonts w:ascii="arial" w:hAnsi="arial"/>
                <w:sz w:val="20"/>
              </w:rPr>
            </w:pPr>
            <w:r>
              <w:rPr>
                <w:rFonts w:ascii="arial" w:hAnsi="arial"/>
                <w:b/>
                <w:sz w:val="20"/>
              </w:rPr>
              <w:t>Southwestern Kentucky:</w:t>
            </w:r>
            <w:r>
              <w:rPr>
                <w:rFonts w:ascii="arial" w:hAnsi="arial"/>
                <w:sz w:val="20"/>
              </w:rPr>
              <w:t xml:space="preserve"> Held the grand opening for Marshall Yards Racing &amp; Gaming on February 25, 2026 in Calvert City, Kentucky. The new HRM entertainment venue has 225 HRMs, a sports bar, a retail sportsbook, and a simulcast wagering area. </w:t>
            </w:r>
          </w:p>
        </w:tc>
      </w:tr>
    </w:tbl>
    <w:p>
      <w:pPr>
        <w:pStyle w:val="TextBody"/>
        <w:bidi w:val="0"/>
        <w:spacing w:before="0" w:after="0"/>
        <w:jc w:val="left"/>
        <w:rPr/>
      </w:pPr>
      <w:r>
        <w:rPr/>
        <w:t> </w:t>
      </w:r>
    </w:p>
    <w:tbl>
      <w:tblPr>
        <w:tblW w:w="1135" w:type="dxa"/>
        <w:jc w:val="left"/>
        <w:tblInd w:w="0" w:type="dxa"/>
        <w:tblLayout w:type="fixed"/>
        <w:tblCellMar>
          <w:top w:w="0" w:type="dxa"/>
          <w:left w:w="0" w:type="dxa"/>
          <w:bottom w:w="0" w:type="dxa"/>
          <w:right w:w="0" w:type="dxa"/>
        </w:tblCellMar>
      </w:tblPr>
      <w:tblGrid>
        <w:gridCol w:w="185"/>
        <w:gridCol w:w="60"/>
        <w:gridCol w:w="89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rFonts w:ascii="arial" w:hAnsi="arial"/>
                <w:sz w:val="20"/>
              </w:rPr>
            </w:pPr>
            <w:r>
              <w:rPr>
                <w:rFonts w:ascii="arial" w:hAnsi="arial"/>
                <w:b/>
                <w:sz w:val="20"/>
              </w:rPr>
              <w:t>Virginia:</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0"/>
              <w:jc w:val="left"/>
              <w:rPr>
                <w:rFonts w:ascii="arial" w:hAnsi="arial"/>
                <w:sz w:val="20"/>
              </w:rPr>
            </w:pPr>
            <w:r>
              <w:rPr>
                <w:rFonts w:ascii="arial" w:hAnsi="arial"/>
                <w:b/>
                <w:sz w:val="20"/>
              </w:rPr>
              <w:t>Northern Virginia:</w:t>
            </w:r>
            <w:r>
              <w:rPr>
                <w:rFonts w:ascii="arial" w:hAnsi="arial"/>
                <w:sz w:val="20"/>
              </w:rPr>
              <w:t xml:space="preserve"> Continued to grow The Rose Gaming Resort (“The Rose”) in Dumfries, Virginia during its first full year of operation. The Rose has 1,610 HRMs, a 102-room hotel, food and beverage offerings, a simulcast wagering area, and event space. </w:t>
            </w:r>
          </w:p>
        </w:tc>
      </w:tr>
    </w:tbl>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75"/>
        <w:gridCol w:w="260"/>
        <w:gridCol w:w="161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1610" w:type="dxa"/>
            <w:tcBorders/>
            <w:vAlign w:val="center"/>
          </w:tcPr>
          <w:p>
            <w:pPr>
              <w:pStyle w:val="TableContents"/>
              <w:bidi w:val="0"/>
              <w:spacing w:before="0" w:after="0"/>
              <w:jc w:val="left"/>
              <w:rPr>
                <w:rFonts w:ascii="arial" w:hAnsi="arial"/>
                <w:b/>
                <w:sz w:val="20"/>
              </w:rPr>
            </w:pPr>
            <w:r>
              <w:rPr>
                <w:rFonts w:ascii="arial" w:hAnsi="arial"/>
                <w:b/>
                <w:sz w:val="20"/>
              </w:rPr>
              <w:t xml:space="preserve">Central Virginia: </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75"/>
        <w:gridCol w:w="260"/>
        <w:gridCol w:w="64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0"/>
              <w:jc w:val="left"/>
              <w:rPr>
                <w:rFonts w:ascii="arial" w:hAnsi="arial"/>
                <w:sz w:val="20"/>
              </w:rPr>
            </w:pPr>
            <w:r>
              <w:rPr>
                <w:rFonts w:ascii="arial" w:hAnsi="arial"/>
                <w:sz w:val="20"/>
              </w:rPr>
              <w:t xml:space="preserve">Completed the expansion of the Richmond, Virginia HRM in August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Opened Roseshire Gaming Parlor in Henrico County in September 2025 with 175 HRMs, food and beverage offerings, and a simulcast wagering area. </w:t>
            </w:r>
          </w:p>
        </w:tc>
      </w:tr>
    </w:tbl>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185"/>
        <w:gridCol w:w="60"/>
        <w:gridCol w:w="161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left"/>
              <w:rPr>
                <w:rFonts w:ascii="arial" w:hAnsi="arial"/>
                <w:sz w:val="20"/>
              </w:rPr>
            </w:pPr>
            <w:r>
              <w:rPr>
                <w:rFonts w:ascii="arial" w:hAnsi="arial"/>
                <w:b/>
                <w:sz w:val="20"/>
              </w:rPr>
              <w:t>New Hampshire:</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Acquired 90% of the outstanding equity interests related to Casino Salem in Salem, New Hampshire in August 2025. The Company announced in January 2026 that Casino Salem will be redeveloped as Rockingham Grand Casino (“Rockingham”). Rockingham will occupy a 160,000 square-foot facility at Rockingham Mall. The venue will feature 825 historical racing machines, 32 table games, 12 electronic table game seats, a 900-seat live entertainment venue, and several food and beverage concepts, including a center bar and full-service sports bar and restaurant. The Company plans to open Rockingham in mid-2027 with an expected capital investment of $180.0 to $200.0 million. </w:t>
            </w:r>
          </w:p>
        </w:tc>
      </w:tr>
    </w:tbl>
    <w:p>
      <w:pPr>
        <w:pStyle w:val="TextBody"/>
        <w:bidi w:val="0"/>
        <w:spacing w:before="240" w:after="0"/>
        <w:jc w:val="left"/>
        <w:rPr>
          <w:rFonts w:ascii="arial" w:hAnsi="arial"/>
          <w:i/>
          <w:sz w:val="20"/>
        </w:rPr>
      </w:pPr>
      <w:r>
        <w:rPr>
          <w:rFonts w:ascii="arial" w:hAnsi="arial"/>
          <w:i/>
          <w:sz w:val="20"/>
          <w:u w:val="single"/>
        </w:rPr>
        <w:t>Wagering Services and Solutions Segment:</w:t>
      </w:r>
      <w:r>
        <w:rPr>
          <w:rFonts w:ascii="arial" w:hAnsi="arial"/>
          <w:i/>
          <w:sz w:val="20"/>
        </w:rPr>
        <w:t xml:space="preserve"> </w:t>
      </w:r>
    </w:p>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185"/>
        <w:gridCol w:w="60"/>
        <w:gridCol w:w="7475"/>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arial" w:hAnsi="arial"/>
                <w:sz w:val="20"/>
              </w:rPr>
            </w:pPr>
            <w:r>
              <w:rPr>
                <w:rFonts w:ascii="arial" w:hAnsi="arial"/>
                <w:sz w:val="20"/>
              </w:rPr>
              <w:t xml:space="preserve">Adjusted EBITDA was $177.3 million, up $11.7 million or 7.1% from fiscal year 2024.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185"/>
        <w:gridCol w:w="60"/>
        <w:gridCol w:w="7325"/>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arial" w:hAnsi="arial"/>
                <w:sz w:val="20"/>
              </w:rPr>
            </w:pPr>
            <w:r>
              <w:rPr>
                <w:rFonts w:ascii="arial" w:hAnsi="arial"/>
                <w:sz w:val="20"/>
              </w:rPr>
              <w:t xml:space="preserve">We expanded Exacta technology and product offerings to customers in new states. </w:t>
            </w:r>
          </w:p>
        </w:tc>
      </w:tr>
    </w:tbl>
    <w:p>
      <w:pPr>
        <w:pStyle w:val="TextBody"/>
        <w:bidi w:val="0"/>
        <w:spacing w:before="240" w:after="0"/>
        <w:jc w:val="left"/>
        <w:rPr>
          <w:rFonts w:ascii="arial" w:hAnsi="arial"/>
          <w:i/>
          <w:sz w:val="20"/>
          <w:u w:val="single"/>
        </w:rPr>
      </w:pPr>
      <w:r>
        <w:rPr>
          <w:rFonts w:ascii="arial" w:hAnsi="arial"/>
          <w:i/>
          <w:sz w:val="20"/>
          <w:u w:val="single"/>
        </w:rPr>
        <w:t xml:space="preserve">Gaming Segment: </w:t>
      </w:r>
    </w:p>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185"/>
        <w:gridCol w:w="60"/>
        <w:gridCol w:w="7715"/>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arial" w:hAnsi="arial"/>
                <w:sz w:val="20"/>
              </w:rPr>
            </w:pPr>
            <w:r>
              <w:rPr>
                <w:rFonts w:ascii="arial" w:hAnsi="arial"/>
                <w:sz w:val="20"/>
              </w:rPr>
              <w:t xml:space="preserve">Adjusted EBITDA was $483.0 million, down $23.9 million or 4.7% from fiscal year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b/>
                <w:sz w:val="20"/>
              </w:rPr>
              <w:t xml:space="preserve">Terre Haute Casino Resort (“Terre Haute”): </w:t>
            </w:r>
            <w:r>
              <w:rPr>
                <w:rFonts w:ascii="arial" w:hAnsi="arial"/>
                <w:sz w:val="20"/>
              </w:rPr>
              <w:t xml:space="preserve">Continued to grow the Terre Haute Casino Resort during its first full year of operation. Terre Haute has over 1,000 slot machines, table games, a 400,000 square-foot entertainment venue, food and beverage offerings, and a retail sportsbook. </w:t>
            </w:r>
          </w:p>
        </w:tc>
      </w:tr>
    </w:tbl>
    <w:p>
      <w:pPr>
        <w:pStyle w:val="TextBody"/>
        <w:bidi w:val="0"/>
        <w:spacing w:before="240" w:after="0"/>
        <w:jc w:val="left"/>
        <w:rPr>
          <w:rFonts w:ascii="arial" w:hAnsi="arial"/>
          <w:i/>
          <w:sz w:val="20"/>
          <w:u w:val="single"/>
        </w:rPr>
      </w:pPr>
      <w:r>
        <w:rPr>
          <w:rFonts w:ascii="arial" w:hAnsi="arial"/>
          <w:i/>
          <w:sz w:val="20"/>
          <w:u w:val="single"/>
        </w:rPr>
        <w:t xml:space="preserve">All Other: </w:t>
      </w:r>
    </w:p>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185"/>
        <w:gridCol w:w="60"/>
        <w:gridCol w:w="9425"/>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rFonts w:ascii="arial" w:hAnsi="arial"/>
                <w:sz w:val="20"/>
              </w:rPr>
            </w:pPr>
            <w:r>
              <w:rPr>
                <w:rFonts w:ascii="arial" w:hAnsi="arial"/>
                <w:sz w:val="20"/>
              </w:rPr>
              <w:t xml:space="preserve">We repurchased $425.3 million of shares under our share repurchase program in 2025, based on trade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We continued in our ESG efforts with the ongoing promotion of responsible gaming; initiatives at our properties to lessen energy and water usage, to decrease carbon emissions, and to responsibly manage waste; increasing investments in the communities in which we operate and supporting our teams through educational and leadership development; and increasing engagement with our shareholders. </w:t>
            </w:r>
          </w:p>
        </w:tc>
      </w:tr>
    </w:tbl>
    <w:p>
      <w:pPr>
        <w:pStyle w:val="TextBody"/>
        <w:bidi w:val="0"/>
        <w:spacing w:before="240" w:after="0"/>
        <w:jc w:val="left"/>
        <w:rPr>
          <w:rFonts w:ascii="arial" w:hAnsi="arial"/>
          <w:sz w:val="20"/>
        </w:rPr>
      </w:pPr>
      <w:r>
        <w:rPr>
          <w:rFonts w:ascii="arial" w:hAnsi="arial"/>
          <w:sz w:val="20"/>
        </w:rPr>
        <w:t xml:space="preserve">We remain committed to delivering strong financial results and long-term sustainable growth. Our businesses generate strong cash flow, and we have a solid balance sheet that supports our organic growth as well as strategic acquisitions that we believe will create long-term value for our shareholders.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28</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6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6" descr=""/>
                          <pic:cNvPicPr>
                            <a:picLocks noChangeAspect="1" noChangeArrowheads="1"/>
                          </pic:cNvPicPr>
                        </pic:nvPicPr>
                        <pic:blipFill>
                          <a:blip r:embed="rId67"/>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004876"/>
          <w:sz w:val="20"/>
        </w:rPr>
      </w:pPr>
      <w:bookmarkStart w:id="42" w:name="toc123994_38"/>
      <w:bookmarkStart w:id="43" w:name="txa123994_3"/>
      <w:bookmarkEnd w:id="42"/>
      <w:bookmarkEnd w:id="43"/>
      <w:r>
        <w:rPr>
          <w:rFonts w:ascii="arial" w:hAnsi="arial"/>
          <w:b/>
          <w:color w:val="004876"/>
          <w:sz w:val="20"/>
        </w:rPr>
        <w:t xml:space="preserve">Key 2025 Compensation Actions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primary elements of our total direct compensation program for the NEOs and a summary of the actions taken by the Committee during 2025 are set forth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46"/>
        <w:gridCol w:w="120"/>
        <w:gridCol w:w="4289"/>
        <w:gridCol w:w="120"/>
        <w:gridCol w:w="4230"/>
      </w:tblGrid>
      <w:tr>
        <w:trPr/>
        <w:tc>
          <w:tcPr>
            <w:tcW w:w="14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30" w:type="dxa"/>
            <w:tcBorders/>
            <w:vAlign w:val="center"/>
          </w:tcPr>
          <w:p>
            <w:pPr>
              <w:pStyle w:val="TableContents"/>
              <w:bidi w:val="0"/>
              <w:spacing w:before="0" w:after="283"/>
              <w:jc w:val="left"/>
              <w:rPr>
                <w:sz w:val="4"/>
                <w:szCs w:val="4"/>
              </w:rPr>
            </w:pPr>
            <w:r>
              <w:rPr>
                <w:sz w:val="4"/>
                <w:szCs w:val="4"/>
              </w:rPr>
            </w:r>
          </w:p>
        </w:tc>
      </w:tr>
      <w:tr>
        <w:trPr/>
        <w:tc>
          <w:tcPr>
            <w:tcW w:w="1446"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4409"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4350" w:type="dxa"/>
            <w:gridSpan w:val="2"/>
            <w:tcBorders>
              <w:top w:val="single" w:sz="16" w:space="0" w:color="004876"/>
              <w:right w:val="single" w:sz="6" w:space="0" w:color="004876"/>
            </w:tcBorders>
            <w:shd w:fill="004876" w:val="clear"/>
            <w:tcMar>
              <w:top w:w="28" w:type="dxa"/>
              <w:right w:w="28" w:type="dxa"/>
            </w:tcMar>
            <w:vAlign w:val="center"/>
          </w:tcPr>
          <w:p>
            <w:pPr>
              <w:pStyle w:val="TableContents"/>
              <w:bidi w:val="0"/>
              <w:spacing w:before="0" w:after="283"/>
              <w:jc w:val="left"/>
              <w:rPr/>
            </w:pPr>
            <w:r>
              <w:rPr/>
              <w:t> </w:t>
            </w:r>
          </w:p>
        </w:tc>
      </w:tr>
      <w:tr>
        <w:trPr/>
        <w:tc>
          <w:tcPr>
            <w:tcW w:w="1446" w:type="dxa"/>
            <w:tcBorders>
              <w:bottom w:val="single" w:sz="16" w:space="0" w:color="004876"/>
            </w:tcBorders>
            <w:shd w:fill="004876" w:val="clear"/>
            <w:tcMar>
              <w:bottom w:w="28" w:type="dxa"/>
            </w:tcMar>
            <w:vAlign w:val="center"/>
          </w:tcPr>
          <w:p>
            <w:pPr>
              <w:pStyle w:val="TableContents"/>
              <w:bidi w:val="0"/>
              <w:spacing w:before="0" w:after="0"/>
              <w:jc w:val="left"/>
              <w:rPr>
                <w:rFonts w:ascii="arial" w:hAnsi="arial"/>
                <w:b/>
                <w:color w:val="FFFFFF"/>
                <w:sz w:val="20"/>
              </w:rPr>
            </w:pPr>
            <w:r>
              <w:rPr>
                <w:rFonts w:ascii="arial" w:hAnsi="arial"/>
                <w:b/>
                <w:color w:val="FFFFFF"/>
                <w:sz w:val="20"/>
              </w:rPr>
              <w:t>Compensation</w:t>
            </w:r>
          </w:p>
          <w:p>
            <w:pPr>
              <w:pStyle w:val="TableContents"/>
              <w:bidi w:val="0"/>
              <w:spacing w:before="0" w:after="20"/>
              <w:jc w:val="left"/>
              <w:rPr>
                <w:rFonts w:ascii="arial" w:hAnsi="arial"/>
                <w:b/>
                <w:color w:val="FFFFFF"/>
                <w:sz w:val="20"/>
              </w:rPr>
            </w:pPr>
            <w:r>
              <w:rPr>
                <w:rFonts w:ascii="arial" w:hAnsi="arial"/>
                <w:b/>
                <w:color w:val="FFFFFF"/>
                <w:sz w:val="20"/>
              </w:rPr>
              <w:t>Component</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4289" w:type="dxa"/>
            <w:tcBorders>
              <w:bottom w:val="single" w:sz="16" w:space="0" w:color="004876"/>
            </w:tcBorders>
            <w:shd w:fill="004876" w:val="clear"/>
            <w:tcMar>
              <w:bottom w:w="28" w:type="dxa"/>
            </w:tcMar>
            <w:vAlign w:val="center"/>
          </w:tcPr>
          <w:p>
            <w:pPr>
              <w:pStyle w:val="TableContents"/>
              <w:bidi w:val="0"/>
              <w:spacing w:before="0" w:after="283"/>
              <w:jc w:val="center"/>
              <w:rPr>
                <w:b/>
                <w:color w:val="FFFFFF"/>
              </w:rPr>
            </w:pPr>
            <w:r>
              <w:rPr>
                <w:b/>
                <w:color w:val="FFFFFF"/>
              </w:rPr>
              <w:t>Link to Business and Talent Strategies</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4230" w:type="dxa"/>
            <w:tcBorders>
              <w:bottom w:val="single" w:sz="16" w:space="0" w:color="004876"/>
              <w:right w:val="single" w:sz="6" w:space="0" w:color="004876"/>
            </w:tcBorders>
            <w:shd w:fill="004876" w:val="clear"/>
            <w:tcMar>
              <w:bottom w:w="28" w:type="dxa"/>
              <w:right w:w="40" w:type="dxa"/>
            </w:tcMar>
            <w:vAlign w:val="center"/>
          </w:tcPr>
          <w:p>
            <w:pPr>
              <w:pStyle w:val="TableContents"/>
              <w:bidi w:val="0"/>
              <w:spacing w:before="0" w:after="283"/>
              <w:jc w:val="center"/>
              <w:rPr>
                <w:b/>
                <w:color w:val="FFFFFF"/>
              </w:rPr>
            </w:pPr>
            <w:r>
              <w:rPr>
                <w:b/>
                <w:color w:val="FFFFFF"/>
              </w:rPr>
              <w:t>2025 Compensation Actions</w:t>
            </w:r>
          </w:p>
        </w:tc>
      </w:tr>
      <w:tr>
        <w:trPr/>
        <w:tc>
          <w:tcPr>
            <w:tcW w:w="1446" w:type="dxa"/>
            <w:tcBorders/>
            <w:shd w:fill="F4F0DC" w:val="clear"/>
            <w:vAlign w:val="center"/>
          </w:tcPr>
          <w:p>
            <w:pPr>
              <w:pStyle w:val="TableContents"/>
              <w:bidi w:val="0"/>
              <w:spacing w:before="0" w:after="283"/>
              <w:jc w:val="left"/>
              <w:rPr>
                <w:sz w:val="4"/>
                <w:szCs w:val="4"/>
              </w:rPr>
            </w:pPr>
            <w:r>
              <w:rPr>
                <w:sz w:val="4"/>
                <w:szCs w:val="4"/>
              </w:rPr>
            </w:r>
          </w:p>
        </w:tc>
        <w:tc>
          <w:tcPr>
            <w:tcW w:w="4409" w:type="dxa"/>
            <w:gridSpan w:val="2"/>
            <w:tcBorders/>
            <w:shd w:fill="F4F0DC" w:val="clear"/>
            <w:vAlign w:val="center"/>
          </w:tcPr>
          <w:p>
            <w:pPr>
              <w:pStyle w:val="TableContents"/>
              <w:bidi w:val="0"/>
              <w:spacing w:before="0" w:after="283"/>
              <w:jc w:val="left"/>
              <w:rPr>
                <w:sz w:val="4"/>
                <w:szCs w:val="4"/>
              </w:rPr>
            </w:pPr>
            <w:r>
              <w:rPr>
                <w:sz w:val="4"/>
                <w:szCs w:val="4"/>
              </w:rPr>
            </w:r>
          </w:p>
        </w:tc>
        <w:tc>
          <w:tcPr>
            <w:tcW w:w="4350" w:type="dxa"/>
            <w:gridSpan w:val="2"/>
            <w:tcBorders/>
            <w:shd w:fill="F4F0DC" w:val="clear"/>
            <w:vAlign w:val="center"/>
          </w:tcPr>
          <w:p>
            <w:pPr>
              <w:pStyle w:val="TableContents"/>
              <w:bidi w:val="0"/>
              <w:spacing w:before="0" w:after="283"/>
              <w:jc w:val="left"/>
              <w:rPr>
                <w:sz w:val="4"/>
                <w:szCs w:val="4"/>
              </w:rPr>
            </w:pPr>
            <w:r>
              <w:rPr>
                <w:sz w:val="4"/>
                <w:szCs w:val="4"/>
              </w:rPr>
            </w:r>
          </w:p>
        </w:tc>
      </w:tr>
      <w:tr>
        <w:trPr/>
        <w:tc>
          <w:tcPr>
            <w:tcW w:w="1446"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color w:val="004876"/>
                <w:sz w:val="20"/>
              </w:rPr>
            </w:pPr>
            <w:r>
              <w:rPr>
                <w:rFonts w:ascii="arial" w:hAnsi="arial"/>
                <w:color w:val="004876"/>
                <w:sz w:val="20"/>
              </w:rPr>
              <w:t xml:space="preserve">Base Salary </w:t>
              <w:br/>
              <w:t>(Page 33)</w:t>
            </w:r>
          </w:p>
        </w:tc>
        <w:tc>
          <w:tcPr>
            <w:tcW w:w="12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4289" w:type="dxa"/>
            <w:tcBorders>
              <w:bottom w:val="single" w:sz="6" w:space="0" w:color="B99C16"/>
            </w:tcBorders>
            <w:shd w:fill="F4F0DC" w:val="clear"/>
            <w:tcMar>
              <w:bottom w:w="80"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Competitive base salaries help attract and retain executive talent.</w:t>
            </w:r>
          </w:p>
        </w:tc>
        <w:tc>
          <w:tcPr>
            <w:tcW w:w="12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4230" w:type="dxa"/>
            <w:tcBorders>
              <w:bottom w:val="single" w:sz="6" w:space="0" w:color="B99C16"/>
            </w:tcBorders>
            <w:shd w:fill="F4F0DC" w:val="clear"/>
            <w:tcMar>
              <w:bottom w:w="80"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Market-based increases of 3% for Mr. Mudd, Ms. Dall, Mr. Blackwell, and Ms. Adams, with Mr. Carstanjen’s base salary remaining the same as compared to 2024.</w:t>
            </w:r>
          </w:p>
        </w:tc>
      </w:tr>
      <w:tr>
        <w:trPr/>
        <w:tc>
          <w:tcPr>
            <w:tcW w:w="1446" w:type="dxa"/>
            <w:tcBorders/>
            <w:vAlign w:val="center"/>
          </w:tcPr>
          <w:p>
            <w:pPr>
              <w:pStyle w:val="TableContents"/>
              <w:bidi w:val="0"/>
              <w:spacing w:before="0" w:after="283"/>
              <w:jc w:val="left"/>
              <w:rPr>
                <w:sz w:val="4"/>
                <w:szCs w:val="4"/>
              </w:rPr>
            </w:pPr>
            <w:r>
              <w:rPr>
                <w:sz w:val="4"/>
                <w:szCs w:val="4"/>
              </w:rPr>
            </w:r>
          </w:p>
        </w:tc>
        <w:tc>
          <w:tcPr>
            <w:tcW w:w="4409" w:type="dxa"/>
            <w:gridSpan w:val="2"/>
            <w:tcBorders/>
            <w:vAlign w:val="center"/>
          </w:tcPr>
          <w:p>
            <w:pPr>
              <w:pStyle w:val="TableContents"/>
              <w:bidi w:val="0"/>
              <w:spacing w:before="0" w:after="283"/>
              <w:jc w:val="left"/>
              <w:rPr>
                <w:sz w:val="4"/>
                <w:szCs w:val="4"/>
              </w:rPr>
            </w:pPr>
            <w:r>
              <w:rPr>
                <w:sz w:val="4"/>
                <w:szCs w:val="4"/>
              </w:rPr>
            </w:r>
          </w:p>
        </w:tc>
        <w:tc>
          <w:tcPr>
            <w:tcW w:w="4350" w:type="dxa"/>
            <w:gridSpan w:val="2"/>
            <w:tcBorders/>
            <w:vAlign w:val="center"/>
          </w:tcPr>
          <w:p>
            <w:pPr>
              <w:pStyle w:val="TableContents"/>
              <w:bidi w:val="0"/>
              <w:spacing w:before="0" w:after="283"/>
              <w:jc w:val="left"/>
              <w:rPr>
                <w:sz w:val="4"/>
                <w:szCs w:val="4"/>
              </w:rPr>
            </w:pPr>
            <w:r>
              <w:rPr>
                <w:sz w:val="4"/>
                <w:szCs w:val="4"/>
              </w:rPr>
            </w:r>
          </w:p>
        </w:tc>
      </w:tr>
      <w:tr>
        <w:trPr/>
        <w:tc>
          <w:tcPr>
            <w:tcW w:w="1446" w:type="dxa"/>
            <w:tcBorders>
              <w:bottom w:val="single" w:sz="6" w:space="0" w:color="B99C16"/>
            </w:tcBorders>
            <w:tcMar>
              <w:bottom w:w="80" w:type="dxa"/>
            </w:tcMar>
            <w:vAlign w:val="center"/>
          </w:tcPr>
          <w:p>
            <w:pPr>
              <w:pStyle w:val="TableContents"/>
              <w:bidi w:val="0"/>
              <w:spacing w:before="0" w:after="0"/>
              <w:jc w:val="left"/>
              <w:rPr>
                <w:rFonts w:ascii="arial" w:hAnsi="arial"/>
                <w:color w:val="004876"/>
                <w:sz w:val="20"/>
              </w:rPr>
            </w:pPr>
            <w:r>
              <w:rPr>
                <w:rFonts w:ascii="arial" w:hAnsi="arial"/>
                <w:color w:val="004876"/>
                <w:sz w:val="20"/>
              </w:rPr>
              <w:t xml:space="preserve">Annual Cash </w:t>
              <w:br/>
              <w:t xml:space="preserve">Incentive </w:t>
              <w:br/>
              <w:t>(Page 34)</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4289" w:type="dxa"/>
            <w:tcBorders>
              <w:bottom w:val="single" w:sz="6" w:space="0" w:color="B99C16"/>
            </w:tcBorders>
            <w:tcMar>
              <w:bottom w:w="80"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Focus executives on achieving annual financial and non-financial results that are considered key indicators of financial and operational performance.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Annual cash incentives are earned based on achievement of Adjusted EBITDA and other strategic, operational and financial measures.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4230" w:type="dxa"/>
            <w:tcBorders>
              <w:bottom w:val="single" w:sz="6" w:space="0" w:color="B99C16"/>
            </w:tcBorders>
            <w:tcMar>
              <w:bottom w:w="80"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The target opportunities for all NEOs remained the same as compared to 2024.</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Annual cash incentive awards were earned at 128% of target for Mr. Carstanjen, Mr. Mudd, Ms. Dall, and Mr. Blackwell and 103% of target for Ms. Adams due to strong Company and executive performance.</w:t>
            </w:r>
          </w:p>
        </w:tc>
      </w:tr>
      <w:tr>
        <w:trPr/>
        <w:tc>
          <w:tcPr>
            <w:tcW w:w="1446" w:type="dxa"/>
            <w:tcBorders/>
            <w:shd w:fill="F4F0DC" w:val="clear"/>
            <w:vAlign w:val="center"/>
          </w:tcPr>
          <w:p>
            <w:pPr>
              <w:pStyle w:val="TableContents"/>
              <w:bidi w:val="0"/>
              <w:spacing w:before="0" w:after="283"/>
              <w:jc w:val="left"/>
              <w:rPr>
                <w:sz w:val="4"/>
                <w:szCs w:val="4"/>
              </w:rPr>
            </w:pPr>
            <w:r>
              <w:rPr>
                <w:sz w:val="4"/>
                <w:szCs w:val="4"/>
              </w:rPr>
            </w:r>
          </w:p>
        </w:tc>
        <w:tc>
          <w:tcPr>
            <w:tcW w:w="4409" w:type="dxa"/>
            <w:gridSpan w:val="2"/>
            <w:tcBorders/>
            <w:shd w:fill="F4F0DC" w:val="clear"/>
            <w:vAlign w:val="center"/>
          </w:tcPr>
          <w:p>
            <w:pPr>
              <w:pStyle w:val="TableContents"/>
              <w:bidi w:val="0"/>
              <w:spacing w:before="0" w:after="283"/>
              <w:jc w:val="left"/>
              <w:rPr>
                <w:sz w:val="4"/>
                <w:szCs w:val="4"/>
              </w:rPr>
            </w:pPr>
            <w:r>
              <w:rPr>
                <w:sz w:val="4"/>
                <w:szCs w:val="4"/>
              </w:rPr>
            </w:r>
          </w:p>
        </w:tc>
        <w:tc>
          <w:tcPr>
            <w:tcW w:w="4350" w:type="dxa"/>
            <w:gridSpan w:val="2"/>
            <w:tcBorders/>
            <w:shd w:fill="F4F0DC" w:val="clear"/>
            <w:vAlign w:val="center"/>
          </w:tcPr>
          <w:p>
            <w:pPr>
              <w:pStyle w:val="TableContents"/>
              <w:bidi w:val="0"/>
              <w:spacing w:before="0" w:after="283"/>
              <w:jc w:val="left"/>
              <w:rPr>
                <w:sz w:val="4"/>
                <w:szCs w:val="4"/>
              </w:rPr>
            </w:pPr>
            <w:r>
              <w:rPr>
                <w:sz w:val="4"/>
                <w:szCs w:val="4"/>
              </w:rPr>
            </w:r>
          </w:p>
        </w:tc>
      </w:tr>
      <w:tr>
        <w:trPr/>
        <w:tc>
          <w:tcPr>
            <w:tcW w:w="1446"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color w:val="004876"/>
                <w:sz w:val="20"/>
              </w:rPr>
            </w:pPr>
            <w:r>
              <w:rPr>
                <w:rFonts w:ascii="arial" w:hAnsi="arial"/>
                <w:color w:val="004876"/>
                <w:sz w:val="20"/>
              </w:rPr>
              <w:t xml:space="preserve">Long-Term Equity </w:t>
              <w:br/>
              <w:t xml:space="preserve">Incentive Compensation </w:t>
              <w:br/>
              <w:t>(Page 36)</w:t>
            </w:r>
          </w:p>
        </w:tc>
        <w:tc>
          <w:tcPr>
            <w:tcW w:w="12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4289" w:type="dxa"/>
            <w:tcBorders>
              <w:bottom w:val="single" w:sz="6" w:space="0" w:color="B99C16"/>
            </w:tcBorders>
            <w:shd w:fill="F4F0DC" w:val="clear"/>
            <w:tcMar>
              <w:bottom w:w="80"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2025 annual equity-based awards consist of PSUs and RSUs.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2025 PSUs vest based on achievement of 3-year Cumulative Adjusted EBITDA and 3-year Cumulative Cash Flow metrics that are considered key indicators of long-term performance, with vesting adjusted based on relative total shareholder return (“TSR”) performance to additionally incorporate a measure of shareholder value creation over the performance period.</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RSUs provide focus on stock price growth and serve our talent retention objectives.</w:t>
            </w:r>
          </w:p>
        </w:tc>
        <w:tc>
          <w:tcPr>
            <w:tcW w:w="12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4230" w:type="dxa"/>
            <w:tcBorders>
              <w:bottom w:val="single" w:sz="6" w:space="0" w:color="B99C16"/>
            </w:tcBorders>
            <w:shd w:fill="F4F0DC" w:val="clear"/>
            <w:tcMar>
              <w:bottom w:w="80"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Merit and market-based increases to each NEO, except for Ms. Adams who did not receive a 2025 equity-based award.</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The target value of the equity award mix is generally balanced between PSUs (50%) and RSUs (50%).</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2025 PSUs are subject to a multi-year performance period and will be earned based on goals relating to Adjusted EBITDA (weighted 50%) and Cash Flow (weighted 50%) measured over the 2025-2027 performance period, with a relative TSR modifier of +/- 25% for TSR performance over the 2025-2027 performance period.</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RSUs vest over three years in equal annual installments.</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7" descr=""/>
                          <pic:cNvPicPr>
                            <a:picLocks noChangeAspect="1" noChangeArrowheads="1"/>
                          </pic:cNvPicPr>
                        </pic:nvPicPr>
                        <pic:blipFill>
                          <a:blip r:embed="rId68"/>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29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004876"/>
          <w:sz w:val="20"/>
        </w:rPr>
      </w:pPr>
      <w:bookmarkStart w:id="44" w:name="toc123994_39"/>
      <w:bookmarkStart w:id="45" w:name="txa123994_4"/>
      <w:bookmarkEnd w:id="44"/>
      <w:bookmarkEnd w:id="45"/>
      <w:r>
        <w:rPr>
          <w:rFonts w:ascii="arial" w:hAnsi="arial"/>
          <w:b/>
          <w:color w:val="004876"/>
          <w:sz w:val="20"/>
        </w:rPr>
        <w:t xml:space="preserve">Executive Compensation Philosophy and Core Principles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60"/>
        <w:gridCol w:w="230"/>
        <w:gridCol w:w="60"/>
        <w:gridCol w:w="5777"/>
        <w:gridCol w:w="60"/>
        <w:gridCol w:w="140"/>
        <w:gridCol w:w="60"/>
        <w:gridCol w:w="260"/>
        <w:gridCol w:w="60"/>
        <w:gridCol w:w="140"/>
        <w:gridCol w:w="60"/>
        <w:gridCol w:w="140"/>
        <w:gridCol w:w="120"/>
        <w:gridCol w:w="2667"/>
        <w:gridCol w:w="60"/>
        <w:gridCol w:w="156"/>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 w:type="dxa"/>
            <w:tcBorders/>
            <w:shd w:fill="004876" w:val="clear"/>
            <w:vAlign w:val="center"/>
          </w:tcPr>
          <w:p>
            <w:pPr>
              <w:pStyle w:val="TableContents"/>
              <w:bidi w:val="0"/>
              <w:spacing w:lineRule="atLeast" w:line="320" w:before="0" w:after="0"/>
              <w:jc w:val="left"/>
              <w:rPr/>
            </w:pPr>
            <w:r>
              <w:rPr/>
              <w:t> </w:t>
            </w:r>
          </w:p>
        </w:tc>
        <w:tc>
          <w:tcPr>
            <w:tcW w:w="60" w:type="dxa"/>
            <w:tcBorders/>
            <w:shd w:fill="004876" w:val="clear"/>
            <w:vAlign w:val="center"/>
          </w:tcPr>
          <w:p>
            <w:pPr>
              <w:pStyle w:val="TableContents"/>
              <w:bidi w:val="0"/>
              <w:spacing w:before="0" w:after="283"/>
              <w:jc w:val="left"/>
              <w:rPr/>
            </w:pPr>
            <w:r>
              <w:rPr/>
              <w:t> </w:t>
            </w:r>
          </w:p>
        </w:tc>
        <w:tc>
          <w:tcPr>
            <w:tcW w:w="230" w:type="dxa"/>
            <w:tcBorders/>
            <w:shd w:fill="004876" w:val="clear"/>
            <w:vAlign w:val="center"/>
          </w:tcPr>
          <w:p>
            <w:pPr>
              <w:pStyle w:val="TableContents"/>
              <w:bidi w:val="0"/>
              <w:spacing w:before="0" w:after="283"/>
              <w:jc w:val="left"/>
              <w:rPr/>
            </w:pPr>
            <w:r>
              <w:rPr/>
              <w:t> </w:t>
            </w:r>
          </w:p>
        </w:tc>
        <w:tc>
          <w:tcPr>
            <w:tcW w:w="60" w:type="dxa"/>
            <w:tcBorders/>
            <w:shd w:fill="004876" w:val="clear"/>
            <w:vAlign w:val="center"/>
          </w:tcPr>
          <w:p>
            <w:pPr>
              <w:pStyle w:val="TableContents"/>
              <w:bidi w:val="0"/>
              <w:spacing w:before="0" w:after="283"/>
              <w:jc w:val="left"/>
              <w:rPr/>
            </w:pPr>
            <w:r>
              <w:rPr/>
              <w:t> </w:t>
            </w:r>
          </w:p>
        </w:tc>
        <w:tc>
          <w:tcPr>
            <w:tcW w:w="5777" w:type="dxa"/>
            <w:tcBorders/>
            <w:shd w:fill="004876" w:val="clear"/>
            <w:vAlign w:val="center"/>
          </w:tcPr>
          <w:p>
            <w:pPr>
              <w:pStyle w:val="TableContents"/>
              <w:bidi w:val="0"/>
              <w:spacing w:lineRule="atLeast" w:line="320" w:before="0" w:after="0"/>
              <w:jc w:val="center"/>
              <w:rPr>
                <w:rFonts w:ascii="arial" w:hAnsi="arial"/>
                <w:b/>
                <w:color w:val="FFFFFF"/>
                <w:sz w:val="20"/>
              </w:rPr>
            </w:pPr>
            <w:r>
              <w:rPr>
                <w:rFonts w:ascii="arial" w:hAnsi="arial"/>
                <w:b/>
                <w:color w:val="FFFFFF"/>
                <w:sz w:val="20"/>
              </w:rPr>
              <w:t>What We Do    </w:t>
            </w:r>
          </w:p>
        </w:tc>
        <w:tc>
          <w:tcPr>
            <w:tcW w:w="60" w:type="dxa"/>
            <w:tcBorders/>
            <w:shd w:fill="004876" w:val="clear"/>
            <w:vAlign w:val="center"/>
          </w:tcPr>
          <w:p>
            <w:pPr>
              <w:pStyle w:val="TableContents"/>
              <w:bidi w:val="0"/>
              <w:spacing w:before="0" w:after="283"/>
              <w:jc w:val="left"/>
              <w:rPr/>
            </w:pPr>
            <w:r>
              <w:rPr/>
              <w:t> </w:t>
            </w:r>
          </w:p>
        </w:tc>
        <w:tc>
          <w:tcPr>
            <w:tcW w:w="140" w:type="dxa"/>
            <w:tcBorders/>
            <w:shd w:fill="004876" w:val="clear"/>
            <w:vAlign w:val="center"/>
          </w:tcPr>
          <w:p>
            <w:pPr>
              <w:pStyle w:val="TableContents"/>
              <w:bidi w:val="0"/>
              <w:spacing w:lineRule="atLeast" w:line="320" w:before="0" w:after="0"/>
              <w:jc w:val="center"/>
              <w:rPr>
                <w:color w:val="004876"/>
              </w:rPr>
            </w:pPr>
            <w:r>
              <w:rPr>
                <w:color w:val="004876"/>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lineRule="atLeast" w:line="320" w:before="0" w:after="0"/>
              <w:jc w:val="center"/>
              <w:rPr>
                <w:color w:val="004876"/>
              </w:rPr>
            </w:pPr>
            <w:r>
              <w:rPr>
                <w:color w:val="004876"/>
              </w:rPr>
              <w:t> </w:t>
            </w:r>
          </w:p>
        </w:tc>
        <w:tc>
          <w:tcPr>
            <w:tcW w:w="60" w:type="dxa"/>
            <w:tcBorders/>
            <w:shd w:fill="004876" w:val="clear"/>
            <w:vAlign w:val="center"/>
          </w:tcPr>
          <w:p>
            <w:pPr>
              <w:pStyle w:val="TableContents"/>
              <w:bidi w:val="0"/>
              <w:spacing w:before="0" w:after="283"/>
              <w:jc w:val="left"/>
              <w:rPr/>
            </w:pPr>
            <w:r>
              <w:rPr/>
              <w:t> </w:t>
            </w:r>
          </w:p>
        </w:tc>
        <w:tc>
          <w:tcPr>
            <w:tcW w:w="140" w:type="dxa"/>
            <w:tcBorders/>
            <w:shd w:fill="004876" w:val="clear"/>
            <w:vAlign w:val="center"/>
          </w:tcPr>
          <w:p>
            <w:pPr>
              <w:pStyle w:val="TableContents"/>
              <w:bidi w:val="0"/>
              <w:spacing w:lineRule="atLeast" w:line="320" w:before="0" w:after="0"/>
              <w:jc w:val="center"/>
              <w:rPr>
                <w:color w:val="004876"/>
              </w:rPr>
            </w:pPr>
            <w:r>
              <w:rPr>
                <w:color w:val="004876"/>
              </w:rPr>
              <w:t> </w:t>
            </w:r>
          </w:p>
        </w:tc>
        <w:tc>
          <w:tcPr>
            <w:tcW w:w="60" w:type="dxa"/>
            <w:tcBorders/>
            <w:shd w:fill="004876" w:val="clear"/>
            <w:vAlign w:val="center"/>
          </w:tcPr>
          <w:p>
            <w:pPr>
              <w:pStyle w:val="TableContents"/>
              <w:bidi w:val="0"/>
              <w:spacing w:before="0" w:after="283"/>
              <w:jc w:val="left"/>
              <w:rPr/>
            </w:pPr>
            <w:r>
              <w:rPr/>
              <w:t> </w:t>
            </w:r>
          </w:p>
        </w:tc>
        <w:tc>
          <w:tcPr>
            <w:tcW w:w="140" w:type="dxa"/>
            <w:tcBorders/>
            <w:shd w:fill="004876" w:val="clear"/>
            <w:vAlign w:val="center"/>
          </w:tcPr>
          <w:p>
            <w:pPr>
              <w:pStyle w:val="TableContents"/>
              <w:bidi w:val="0"/>
              <w:spacing w:before="0" w:after="283"/>
              <w:jc w:val="left"/>
              <w:rPr/>
            </w:pPr>
            <w:r>
              <w:rPr/>
              <w:t> </w:t>
            </w:r>
          </w:p>
        </w:tc>
        <w:tc>
          <w:tcPr>
            <w:tcW w:w="120" w:type="dxa"/>
            <w:tcBorders/>
            <w:shd w:fill="004876" w:val="clear"/>
            <w:vAlign w:val="center"/>
          </w:tcPr>
          <w:p>
            <w:pPr>
              <w:pStyle w:val="TableContents"/>
              <w:bidi w:val="0"/>
              <w:spacing w:before="0" w:after="283"/>
              <w:jc w:val="left"/>
              <w:rPr/>
            </w:pPr>
            <w:r>
              <w:rPr/>
              <w:t>  </w:t>
            </w:r>
          </w:p>
        </w:tc>
        <w:tc>
          <w:tcPr>
            <w:tcW w:w="2667" w:type="dxa"/>
            <w:tcBorders/>
            <w:shd w:fill="004876" w:val="clear"/>
            <w:vAlign w:val="center"/>
          </w:tcPr>
          <w:p>
            <w:pPr>
              <w:pStyle w:val="TableContents"/>
              <w:bidi w:val="0"/>
              <w:spacing w:lineRule="atLeast" w:line="320" w:before="0" w:after="0"/>
              <w:jc w:val="center"/>
              <w:rPr>
                <w:rFonts w:ascii="arial" w:hAnsi="arial"/>
                <w:b/>
                <w:color w:val="FFFFFF"/>
                <w:sz w:val="20"/>
              </w:rPr>
            </w:pPr>
            <w:r>
              <w:rPr>
                <w:rFonts w:ascii="arial" w:hAnsi="arial"/>
                <w:b/>
                <w:color w:val="FFFFFF"/>
                <w:sz w:val="20"/>
              </w:rPr>
              <w:t>What We Don’t Do</w:t>
            </w:r>
          </w:p>
        </w:tc>
        <w:tc>
          <w:tcPr>
            <w:tcW w:w="60" w:type="dxa"/>
            <w:tcBorders/>
            <w:shd w:fill="004876" w:val="clear"/>
            <w:vAlign w:val="center"/>
          </w:tcPr>
          <w:p>
            <w:pPr>
              <w:pStyle w:val="TableContents"/>
              <w:bidi w:val="0"/>
              <w:spacing w:before="0" w:after="283"/>
              <w:jc w:val="left"/>
              <w:rPr/>
            </w:pPr>
            <w:r>
              <w:rPr/>
              <w:t> </w:t>
            </w:r>
          </w:p>
        </w:tc>
        <w:tc>
          <w:tcPr>
            <w:tcW w:w="156" w:type="dxa"/>
            <w:tcBorders/>
            <w:shd w:fill="004876" w:val="clear"/>
            <w:vAlign w:val="center"/>
          </w:tcPr>
          <w:p>
            <w:pPr>
              <w:pStyle w:val="TableContents"/>
              <w:bidi w:val="0"/>
              <w:spacing w:lineRule="atLeast" w:line="320" w:before="0" w:after="0"/>
              <w:jc w:val="center"/>
              <w:rPr>
                <w:color w:val="004876"/>
              </w:rPr>
            </w:pPr>
            <w:r>
              <w:rPr>
                <w:color w:val="004876"/>
              </w:rPr>
              <w:t> </w:t>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290" w:type="dxa"/>
            <w:gridSpan w:val="2"/>
            <w:tcBorders/>
            <w:shd w:fill="F1EBD0" w:val="clear"/>
            <w:vAlign w:val="center"/>
          </w:tcPr>
          <w:p>
            <w:pPr>
              <w:pStyle w:val="TableContents"/>
              <w:bidi w:val="0"/>
              <w:spacing w:before="0" w:after="283"/>
              <w:jc w:val="left"/>
              <w:rPr>
                <w:sz w:val="4"/>
                <w:szCs w:val="4"/>
              </w:rPr>
            </w:pPr>
            <w:r>
              <w:rPr>
                <w:sz w:val="4"/>
                <w:szCs w:val="4"/>
              </w:rPr>
            </w:r>
          </w:p>
        </w:tc>
        <w:tc>
          <w:tcPr>
            <w:tcW w:w="5837"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787" w:type="dxa"/>
            <w:gridSpan w:val="2"/>
            <w:tcBorders/>
            <w:shd w:fill="F1EBD0" w:val="clear"/>
            <w:vAlign w:val="center"/>
          </w:tcPr>
          <w:p>
            <w:pPr>
              <w:pStyle w:val="TableContents"/>
              <w:bidi w:val="0"/>
              <w:spacing w:before="0" w:after="283"/>
              <w:jc w:val="left"/>
              <w:rPr>
                <w:sz w:val="4"/>
                <w:szCs w:val="4"/>
              </w:rPr>
            </w:pPr>
            <w:r>
              <w:rPr>
                <w:sz w:val="4"/>
                <w:szCs w:val="4"/>
              </w:rPr>
            </w:r>
          </w:p>
        </w:tc>
        <w:tc>
          <w:tcPr>
            <w:tcW w:w="216" w:type="dxa"/>
            <w:gridSpan w:val="2"/>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230" w:type="dxa"/>
            <w:tcBorders/>
            <w:shd w:fill="F1EBD0" w:val="clear"/>
            <w:vAlign w:val="center"/>
          </w:tcPr>
          <w:p>
            <w:pPr>
              <w:pStyle w:val="TableContents"/>
              <w:bidi w:val="0"/>
              <w:spacing w:before="0" w:after="0"/>
              <w:jc w:val="left"/>
              <w:rPr>
                <w:color w:val="004876"/>
              </w:rPr>
            </w:pPr>
            <w:r>
              <w:rPr>
                <w:color w:val="004876"/>
              </w:rPr>
              <w:t>✓</w:t>
            </w:r>
          </w:p>
        </w:tc>
        <w:tc>
          <w:tcPr>
            <w:tcW w:w="60" w:type="dxa"/>
            <w:tcBorders/>
            <w:shd w:fill="F1EBD0" w:val="clear"/>
            <w:vAlign w:val="center"/>
          </w:tcPr>
          <w:p>
            <w:pPr>
              <w:pStyle w:val="TableContents"/>
              <w:bidi w:val="0"/>
              <w:spacing w:before="0" w:after="283"/>
              <w:jc w:val="left"/>
              <w:rPr/>
            </w:pPr>
            <w:r>
              <w:rPr/>
              <w:t> </w:t>
            </w:r>
          </w:p>
        </w:tc>
        <w:tc>
          <w:tcPr>
            <w:tcW w:w="5777" w:type="dxa"/>
            <w:tcBorders/>
            <w:shd w:fill="F1EBD0" w:val="clear"/>
            <w:vAlign w:val="center"/>
          </w:tcPr>
          <w:p>
            <w:pPr>
              <w:pStyle w:val="TableContents"/>
              <w:bidi w:val="0"/>
              <w:spacing w:before="0" w:after="283"/>
              <w:jc w:val="left"/>
              <w:rPr/>
            </w:pPr>
            <w:r>
              <w:rPr/>
              <w:t>Generally Target Median Compensation Among Peer Group</w:t>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0"/>
              <w:jc w:val="left"/>
              <w:rPr>
                <w:rFonts w:ascii="Times New Roman" w:hAnsi="Times New Roman"/>
                <w:i/>
                <w:color w:val="004876"/>
                <w:sz w:val="18"/>
              </w:rPr>
            </w:pPr>
            <w:r>
              <w:rPr>
                <w:rFonts w:ascii="Times New Roman" w:hAnsi="Times New Roman"/>
                <w:i/>
                <w:color w:val="004876"/>
                <w:sz w:val="18"/>
              </w:rPr>
              <w:t>×</w:t>
            </w:r>
          </w:p>
        </w:tc>
        <w:tc>
          <w:tcPr>
            <w:tcW w:w="120" w:type="dxa"/>
            <w:tcBorders/>
            <w:shd w:fill="F1EBD0" w:val="clear"/>
            <w:vAlign w:val="center"/>
          </w:tcPr>
          <w:p>
            <w:pPr>
              <w:pStyle w:val="TableContents"/>
              <w:bidi w:val="0"/>
              <w:spacing w:before="0" w:after="283"/>
              <w:jc w:val="left"/>
              <w:rPr/>
            </w:pPr>
            <w:r>
              <w:rPr/>
              <w:t>  </w:t>
            </w:r>
          </w:p>
        </w:tc>
        <w:tc>
          <w:tcPr>
            <w:tcW w:w="2667" w:type="dxa"/>
            <w:tcBorders/>
            <w:shd w:fill="F1EBD0" w:val="clear"/>
            <w:vAlign w:val="center"/>
          </w:tcPr>
          <w:p>
            <w:pPr>
              <w:pStyle w:val="TableContents"/>
              <w:bidi w:val="0"/>
              <w:spacing w:before="0" w:after="283"/>
              <w:jc w:val="left"/>
              <w:rPr/>
            </w:pPr>
            <w:r>
              <w:rPr/>
              <w:t>No Employment Agreements</w:t>
            </w:r>
          </w:p>
        </w:tc>
        <w:tc>
          <w:tcPr>
            <w:tcW w:w="60" w:type="dxa"/>
            <w:tcBorders/>
            <w:shd w:fill="F1EBD0" w:val="clear"/>
            <w:vAlign w:val="center"/>
          </w:tcPr>
          <w:p>
            <w:pPr>
              <w:pStyle w:val="TableContents"/>
              <w:bidi w:val="0"/>
              <w:spacing w:before="0" w:after="283"/>
              <w:jc w:val="left"/>
              <w:rPr/>
            </w:pPr>
            <w:r>
              <w:rPr/>
              <w:t> </w:t>
            </w:r>
          </w:p>
        </w:tc>
        <w:tc>
          <w:tcPr>
            <w:tcW w:w="156" w:type="dxa"/>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290" w:type="dxa"/>
            <w:gridSpan w:val="2"/>
            <w:tcBorders/>
            <w:shd w:fill="F1EBD0" w:val="clear"/>
            <w:vAlign w:val="center"/>
          </w:tcPr>
          <w:p>
            <w:pPr>
              <w:pStyle w:val="TableContents"/>
              <w:bidi w:val="0"/>
              <w:spacing w:before="0" w:after="283"/>
              <w:jc w:val="left"/>
              <w:rPr>
                <w:sz w:val="4"/>
                <w:szCs w:val="4"/>
              </w:rPr>
            </w:pPr>
            <w:r>
              <w:rPr>
                <w:sz w:val="4"/>
                <w:szCs w:val="4"/>
              </w:rPr>
            </w:r>
          </w:p>
        </w:tc>
        <w:tc>
          <w:tcPr>
            <w:tcW w:w="5837"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787" w:type="dxa"/>
            <w:gridSpan w:val="2"/>
            <w:tcBorders/>
            <w:shd w:fill="F1EBD0" w:val="clear"/>
            <w:vAlign w:val="center"/>
          </w:tcPr>
          <w:p>
            <w:pPr>
              <w:pStyle w:val="TableContents"/>
              <w:bidi w:val="0"/>
              <w:spacing w:before="0" w:after="283"/>
              <w:jc w:val="left"/>
              <w:rPr>
                <w:sz w:val="4"/>
                <w:szCs w:val="4"/>
              </w:rPr>
            </w:pPr>
            <w:r>
              <w:rPr>
                <w:sz w:val="4"/>
                <w:szCs w:val="4"/>
              </w:rPr>
            </w:r>
          </w:p>
        </w:tc>
        <w:tc>
          <w:tcPr>
            <w:tcW w:w="216" w:type="dxa"/>
            <w:gridSpan w:val="2"/>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230" w:type="dxa"/>
            <w:tcBorders/>
            <w:shd w:fill="F1EBD0" w:val="clear"/>
            <w:vAlign w:val="center"/>
          </w:tcPr>
          <w:p>
            <w:pPr>
              <w:pStyle w:val="TableContents"/>
              <w:bidi w:val="0"/>
              <w:spacing w:before="0" w:after="0"/>
              <w:jc w:val="left"/>
              <w:rPr>
                <w:color w:val="004876"/>
              </w:rPr>
            </w:pPr>
            <w:r>
              <w:rPr>
                <w:color w:val="004876"/>
              </w:rPr>
              <w:t>✓</w:t>
            </w:r>
          </w:p>
        </w:tc>
        <w:tc>
          <w:tcPr>
            <w:tcW w:w="60" w:type="dxa"/>
            <w:tcBorders/>
            <w:shd w:fill="F1EBD0" w:val="clear"/>
            <w:vAlign w:val="center"/>
          </w:tcPr>
          <w:p>
            <w:pPr>
              <w:pStyle w:val="TableContents"/>
              <w:bidi w:val="0"/>
              <w:spacing w:before="0" w:after="283"/>
              <w:jc w:val="left"/>
              <w:rPr/>
            </w:pPr>
            <w:r>
              <w:rPr/>
              <w:t> </w:t>
            </w:r>
          </w:p>
        </w:tc>
        <w:tc>
          <w:tcPr>
            <w:tcW w:w="5777" w:type="dxa"/>
            <w:tcBorders/>
            <w:shd w:fill="F1EBD0" w:val="clear"/>
            <w:vAlign w:val="center"/>
          </w:tcPr>
          <w:p>
            <w:pPr>
              <w:pStyle w:val="TableContents"/>
              <w:bidi w:val="0"/>
              <w:spacing w:before="0" w:after="283"/>
              <w:jc w:val="left"/>
              <w:rPr/>
            </w:pPr>
            <w:r>
              <w:rPr/>
              <w:t>Executive Stock Ownership Guidelines</w:t>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0"/>
              <w:jc w:val="left"/>
              <w:rPr>
                <w:rFonts w:ascii="Times New Roman" w:hAnsi="Times New Roman"/>
                <w:i/>
                <w:color w:val="004876"/>
                <w:sz w:val="18"/>
              </w:rPr>
            </w:pPr>
            <w:r>
              <w:rPr>
                <w:rFonts w:ascii="Times New Roman" w:hAnsi="Times New Roman"/>
                <w:i/>
                <w:color w:val="004876"/>
                <w:sz w:val="18"/>
              </w:rPr>
              <w:t>×</w:t>
            </w:r>
          </w:p>
        </w:tc>
        <w:tc>
          <w:tcPr>
            <w:tcW w:w="120" w:type="dxa"/>
            <w:tcBorders/>
            <w:shd w:fill="F1EBD0" w:val="clear"/>
            <w:vAlign w:val="center"/>
          </w:tcPr>
          <w:p>
            <w:pPr>
              <w:pStyle w:val="TableContents"/>
              <w:bidi w:val="0"/>
              <w:spacing w:before="0" w:after="283"/>
              <w:jc w:val="left"/>
              <w:rPr/>
            </w:pPr>
            <w:r>
              <w:rPr/>
              <w:t>  </w:t>
            </w:r>
          </w:p>
        </w:tc>
        <w:tc>
          <w:tcPr>
            <w:tcW w:w="2667" w:type="dxa"/>
            <w:tcBorders/>
            <w:shd w:fill="F1EBD0" w:val="clear"/>
            <w:vAlign w:val="center"/>
          </w:tcPr>
          <w:p>
            <w:pPr>
              <w:pStyle w:val="TableContents"/>
              <w:bidi w:val="0"/>
              <w:spacing w:before="0" w:after="283"/>
              <w:jc w:val="left"/>
              <w:rPr/>
            </w:pPr>
            <w:r>
              <w:rPr/>
              <w:t>No Re-pricing of SARs or Stock Options</w:t>
            </w:r>
          </w:p>
        </w:tc>
        <w:tc>
          <w:tcPr>
            <w:tcW w:w="60" w:type="dxa"/>
            <w:tcBorders/>
            <w:shd w:fill="F1EBD0" w:val="clear"/>
            <w:vAlign w:val="center"/>
          </w:tcPr>
          <w:p>
            <w:pPr>
              <w:pStyle w:val="TableContents"/>
              <w:bidi w:val="0"/>
              <w:spacing w:before="0" w:after="283"/>
              <w:jc w:val="left"/>
              <w:rPr/>
            </w:pPr>
            <w:r>
              <w:rPr/>
              <w:t> </w:t>
            </w:r>
          </w:p>
        </w:tc>
        <w:tc>
          <w:tcPr>
            <w:tcW w:w="156" w:type="dxa"/>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290" w:type="dxa"/>
            <w:gridSpan w:val="2"/>
            <w:tcBorders/>
            <w:shd w:fill="F1EBD0" w:val="clear"/>
            <w:vAlign w:val="center"/>
          </w:tcPr>
          <w:p>
            <w:pPr>
              <w:pStyle w:val="TableContents"/>
              <w:bidi w:val="0"/>
              <w:spacing w:before="0" w:after="283"/>
              <w:jc w:val="left"/>
              <w:rPr>
                <w:sz w:val="4"/>
                <w:szCs w:val="4"/>
              </w:rPr>
            </w:pPr>
            <w:r>
              <w:rPr>
                <w:sz w:val="4"/>
                <w:szCs w:val="4"/>
              </w:rPr>
            </w:r>
          </w:p>
        </w:tc>
        <w:tc>
          <w:tcPr>
            <w:tcW w:w="5837"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787" w:type="dxa"/>
            <w:gridSpan w:val="2"/>
            <w:tcBorders/>
            <w:shd w:fill="F1EBD0" w:val="clear"/>
            <w:vAlign w:val="center"/>
          </w:tcPr>
          <w:p>
            <w:pPr>
              <w:pStyle w:val="TableContents"/>
              <w:bidi w:val="0"/>
              <w:spacing w:before="0" w:after="283"/>
              <w:jc w:val="left"/>
              <w:rPr>
                <w:sz w:val="4"/>
                <w:szCs w:val="4"/>
              </w:rPr>
            </w:pPr>
            <w:r>
              <w:rPr>
                <w:sz w:val="4"/>
                <w:szCs w:val="4"/>
              </w:rPr>
            </w:r>
          </w:p>
        </w:tc>
        <w:tc>
          <w:tcPr>
            <w:tcW w:w="216" w:type="dxa"/>
            <w:gridSpan w:val="2"/>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230" w:type="dxa"/>
            <w:tcBorders/>
            <w:shd w:fill="F1EBD0" w:val="clear"/>
            <w:vAlign w:val="center"/>
          </w:tcPr>
          <w:p>
            <w:pPr>
              <w:pStyle w:val="TableContents"/>
              <w:bidi w:val="0"/>
              <w:spacing w:before="0" w:after="0"/>
              <w:jc w:val="left"/>
              <w:rPr>
                <w:color w:val="004876"/>
              </w:rPr>
            </w:pPr>
            <w:r>
              <w:rPr>
                <w:color w:val="004876"/>
              </w:rPr>
              <w:t>✓</w:t>
            </w:r>
          </w:p>
        </w:tc>
        <w:tc>
          <w:tcPr>
            <w:tcW w:w="60" w:type="dxa"/>
            <w:tcBorders/>
            <w:shd w:fill="F1EBD0" w:val="clear"/>
            <w:vAlign w:val="center"/>
          </w:tcPr>
          <w:p>
            <w:pPr>
              <w:pStyle w:val="TableContents"/>
              <w:bidi w:val="0"/>
              <w:spacing w:before="0" w:after="283"/>
              <w:jc w:val="left"/>
              <w:rPr/>
            </w:pPr>
            <w:r>
              <w:rPr/>
              <w:t> </w:t>
            </w:r>
          </w:p>
        </w:tc>
        <w:tc>
          <w:tcPr>
            <w:tcW w:w="5777" w:type="dxa"/>
            <w:tcBorders/>
            <w:shd w:fill="F1EBD0" w:val="clear"/>
            <w:vAlign w:val="center"/>
          </w:tcPr>
          <w:p>
            <w:pPr>
              <w:pStyle w:val="TableContents"/>
              <w:bidi w:val="0"/>
              <w:spacing w:before="0" w:after="283"/>
              <w:jc w:val="left"/>
              <w:rPr/>
            </w:pPr>
            <w:r>
              <w:rPr/>
              <w:t>PSUs Vesting over Multi-year Performance Period</w:t>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0"/>
              <w:jc w:val="left"/>
              <w:rPr>
                <w:rFonts w:ascii="Times New Roman" w:hAnsi="Times New Roman"/>
                <w:i/>
                <w:color w:val="004876"/>
                <w:sz w:val="18"/>
              </w:rPr>
            </w:pPr>
            <w:r>
              <w:rPr>
                <w:rFonts w:ascii="Times New Roman" w:hAnsi="Times New Roman"/>
                <w:i/>
                <w:color w:val="004876"/>
                <w:sz w:val="18"/>
              </w:rPr>
              <w:t>×</w:t>
            </w:r>
          </w:p>
        </w:tc>
        <w:tc>
          <w:tcPr>
            <w:tcW w:w="120" w:type="dxa"/>
            <w:tcBorders/>
            <w:shd w:fill="F1EBD0" w:val="clear"/>
            <w:vAlign w:val="center"/>
          </w:tcPr>
          <w:p>
            <w:pPr>
              <w:pStyle w:val="TableContents"/>
              <w:bidi w:val="0"/>
              <w:spacing w:before="0" w:after="283"/>
              <w:jc w:val="left"/>
              <w:rPr/>
            </w:pPr>
            <w:r>
              <w:rPr/>
              <w:t>  </w:t>
            </w:r>
          </w:p>
        </w:tc>
        <w:tc>
          <w:tcPr>
            <w:tcW w:w="2667" w:type="dxa"/>
            <w:tcBorders/>
            <w:shd w:fill="F1EBD0" w:val="clear"/>
            <w:vAlign w:val="center"/>
          </w:tcPr>
          <w:p>
            <w:pPr>
              <w:pStyle w:val="TableContents"/>
              <w:bidi w:val="0"/>
              <w:spacing w:before="0" w:after="283"/>
              <w:jc w:val="left"/>
              <w:rPr/>
            </w:pPr>
            <w:r>
              <w:rPr/>
              <w:t>No Excessive Perquisites</w:t>
            </w:r>
          </w:p>
        </w:tc>
        <w:tc>
          <w:tcPr>
            <w:tcW w:w="60" w:type="dxa"/>
            <w:tcBorders/>
            <w:shd w:fill="F1EBD0" w:val="clear"/>
            <w:vAlign w:val="center"/>
          </w:tcPr>
          <w:p>
            <w:pPr>
              <w:pStyle w:val="TableContents"/>
              <w:bidi w:val="0"/>
              <w:spacing w:before="0" w:after="283"/>
              <w:jc w:val="left"/>
              <w:rPr/>
            </w:pPr>
            <w:r>
              <w:rPr/>
              <w:t> </w:t>
            </w:r>
          </w:p>
        </w:tc>
        <w:tc>
          <w:tcPr>
            <w:tcW w:w="156" w:type="dxa"/>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290" w:type="dxa"/>
            <w:gridSpan w:val="2"/>
            <w:tcBorders/>
            <w:shd w:fill="F1EBD0" w:val="clear"/>
            <w:vAlign w:val="center"/>
          </w:tcPr>
          <w:p>
            <w:pPr>
              <w:pStyle w:val="TableContents"/>
              <w:bidi w:val="0"/>
              <w:spacing w:before="0" w:after="283"/>
              <w:jc w:val="left"/>
              <w:rPr>
                <w:sz w:val="4"/>
                <w:szCs w:val="4"/>
              </w:rPr>
            </w:pPr>
            <w:r>
              <w:rPr>
                <w:sz w:val="4"/>
                <w:szCs w:val="4"/>
              </w:rPr>
            </w:r>
          </w:p>
        </w:tc>
        <w:tc>
          <w:tcPr>
            <w:tcW w:w="5837"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787" w:type="dxa"/>
            <w:gridSpan w:val="2"/>
            <w:tcBorders/>
            <w:shd w:fill="F1EBD0" w:val="clear"/>
            <w:vAlign w:val="center"/>
          </w:tcPr>
          <w:p>
            <w:pPr>
              <w:pStyle w:val="TableContents"/>
              <w:bidi w:val="0"/>
              <w:spacing w:before="0" w:after="283"/>
              <w:jc w:val="left"/>
              <w:rPr>
                <w:sz w:val="4"/>
                <w:szCs w:val="4"/>
              </w:rPr>
            </w:pPr>
            <w:r>
              <w:rPr>
                <w:sz w:val="4"/>
                <w:szCs w:val="4"/>
              </w:rPr>
            </w:r>
          </w:p>
        </w:tc>
        <w:tc>
          <w:tcPr>
            <w:tcW w:w="216" w:type="dxa"/>
            <w:gridSpan w:val="2"/>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230" w:type="dxa"/>
            <w:tcBorders/>
            <w:shd w:fill="F1EBD0" w:val="clear"/>
            <w:vAlign w:val="center"/>
          </w:tcPr>
          <w:p>
            <w:pPr>
              <w:pStyle w:val="TableContents"/>
              <w:bidi w:val="0"/>
              <w:spacing w:before="0" w:after="0"/>
              <w:jc w:val="left"/>
              <w:rPr>
                <w:color w:val="004876"/>
              </w:rPr>
            </w:pPr>
            <w:r>
              <w:rPr>
                <w:color w:val="004876"/>
              </w:rPr>
              <w:t>✓</w:t>
            </w:r>
          </w:p>
        </w:tc>
        <w:tc>
          <w:tcPr>
            <w:tcW w:w="60" w:type="dxa"/>
            <w:tcBorders/>
            <w:shd w:fill="F1EBD0" w:val="clear"/>
            <w:vAlign w:val="center"/>
          </w:tcPr>
          <w:p>
            <w:pPr>
              <w:pStyle w:val="TableContents"/>
              <w:bidi w:val="0"/>
              <w:spacing w:before="0" w:after="283"/>
              <w:jc w:val="left"/>
              <w:rPr/>
            </w:pPr>
            <w:r>
              <w:rPr/>
              <w:t> </w:t>
            </w:r>
          </w:p>
        </w:tc>
        <w:tc>
          <w:tcPr>
            <w:tcW w:w="5777" w:type="dxa"/>
            <w:tcBorders/>
            <w:shd w:fill="F1EBD0" w:val="clear"/>
            <w:vAlign w:val="center"/>
          </w:tcPr>
          <w:p>
            <w:pPr>
              <w:pStyle w:val="TableContents"/>
              <w:bidi w:val="0"/>
              <w:spacing w:before="0" w:after="283"/>
              <w:jc w:val="left"/>
              <w:rPr/>
            </w:pPr>
            <w:r>
              <w:rPr/>
              <w:t>Capped Bonus Payments under EAIP</w:t>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0"/>
              <w:jc w:val="left"/>
              <w:rPr>
                <w:rFonts w:ascii="Times New Roman" w:hAnsi="Times New Roman"/>
                <w:i/>
                <w:color w:val="004876"/>
                <w:sz w:val="18"/>
              </w:rPr>
            </w:pPr>
            <w:r>
              <w:rPr>
                <w:rFonts w:ascii="Times New Roman" w:hAnsi="Times New Roman"/>
                <w:i/>
                <w:color w:val="004876"/>
                <w:sz w:val="18"/>
              </w:rPr>
              <w:t>×</w:t>
            </w:r>
          </w:p>
        </w:tc>
        <w:tc>
          <w:tcPr>
            <w:tcW w:w="120" w:type="dxa"/>
            <w:tcBorders/>
            <w:shd w:fill="F1EBD0" w:val="clear"/>
            <w:vAlign w:val="center"/>
          </w:tcPr>
          <w:p>
            <w:pPr>
              <w:pStyle w:val="TableContents"/>
              <w:bidi w:val="0"/>
              <w:spacing w:before="0" w:after="283"/>
              <w:jc w:val="left"/>
              <w:rPr/>
            </w:pPr>
            <w:r>
              <w:rPr/>
              <w:t>  </w:t>
            </w:r>
          </w:p>
        </w:tc>
        <w:tc>
          <w:tcPr>
            <w:tcW w:w="2667" w:type="dxa"/>
            <w:tcBorders/>
            <w:shd w:fill="F1EBD0" w:val="clear"/>
            <w:vAlign w:val="center"/>
          </w:tcPr>
          <w:p>
            <w:pPr>
              <w:pStyle w:val="TableContents"/>
              <w:bidi w:val="0"/>
              <w:spacing w:before="0" w:after="283"/>
              <w:jc w:val="left"/>
              <w:rPr/>
            </w:pPr>
            <w:r>
              <w:rPr/>
              <w:t>No Service Based Defined Benefit Pension Plans</w:t>
            </w:r>
          </w:p>
        </w:tc>
        <w:tc>
          <w:tcPr>
            <w:tcW w:w="60" w:type="dxa"/>
            <w:tcBorders/>
            <w:shd w:fill="F1EBD0" w:val="clear"/>
            <w:vAlign w:val="center"/>
          </w:tcPr>
          <w:p>
            <w:pPr>
              <w:pStyle w:val="TableContents"/>
              <w:bidi w:val="0"/>
              <w:spacing w:before="0" w:after="283"/>
              <w:jc w:val="left"/>
              <w:rPr/>
            </w:pPr>
            <w:r>
              <w:rPr/>
              <w:t> </w:t>
            </w:r>
          </w:p>
        </w:tc>
        <w:tc>
          <w:tcPr>
            <w:tcW w:w="156" w:type="dxa"/>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290" w:type="dxa"/>
            <w:gridSpan w:val="2"/>
            <w:tcBorders/>
            <w:shd w:fill="F1EBD0" w:val="clear"/>
            <w:vAlign w:val="center"/>
          </w:tcPr>
          <w:p>
            <w:pPr>
              <w:pStyle w:val="TableContents"/>
              <w:bidi w:val="0"/>
              <w:spacing w:before="0" w:after="283"/>
              <w:jc w:val="left"/>
              <w:rPr>
                <w:sz w:val="4"/>
                <w:szCs w:val="4"/>
              </w:rPr>
            </w:pPr>
            <w:r>
              <w:rPr>
                <w:sz w:val="4"/>
                <w:szCs w:val="4"/>
              </w:rPr>
            </w:r>
          </w:p>
        </w:tc>
        <w:tc>
          <w:tcPr>
            <w:tcW w:w="5837"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787" w:type="dxa"/>
            <w:gridSpan w:val="2"/>
            <w:tcBorders/>
            <w:shd w:fill="F1EBD0" w:val="clear"/>
            <w:vAlign w:val="center"/>
          </w:tcPr>
          <w:p>
            <w:pPr>
              <w:pStyle w:val="TableContents"/>
              <w:bidi w:val="0"/>
              <w:spacing w:before="0" w:after="283"/>
              <w:jc w:val="left"/>
              <w:rPr>
                <w:sz w:val="4"/>
                <w:szCs w:val="4"/>
              </w:rPr>
            </w:pPr>
            <w:r>
              <w:rPr>
                <w:sz w:val="4"/>
                <w:szCs w:val="4"/>
              </w:rPr>
            </w:r>
          </w:p>
        </w:tc>
        <w:tc>
          <w:tcPr>
            <w:tcW w:w="216" w:type="dxa"/>
            <w:gridSpan w:val="2"/>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230" w:type="dxa"/>
            <w:tcBorders/>
            <w:shd w:fill="F1EBD0" w:val="clear"/>
            <w:vAlign w:val="center"/>
          </w:tcPr>
          <w:p>
            <w:pPr>
              <w:pStyle w:val="TableContents"/>
              <w:bidi w:val="0"/>
              <w:spacing w:before="0" w:after="0"/>
              <w:jc w:val="left"/>
              <w:rPr>
                <w:color w:val="004876"/>
              </w:rPr>
            </w:pPr>
            <w:r>
              <w:rPr>
                <w:color w:val="004876"/>
              </w:rPr>
              <w:t>✓</w:t>
            </w:r>
          </w:p>
        </w:tc>
        <w:tc>
          <w:tcPr>
            <w:tcW w:w="60" w:type="dxa"/>
            <w:tcBorders/>
            <w:shd w:fill="F1EBD0" w:val="clear"/>
            <w:vAlign w:val="center"/>
          </w:tcPr>
          <w:p>
            <w:pPr>
              <w:pStyle w:val="TableContents"/>
              <w:bidi w:val="0"/>
              <w:spacing w:before="0" w:after="283"/>
              <w:jc w:val="left"/>
              <w:rPr/>
            </w:pPr>
            <w:r>
              <w:rPr/>
              <w:t> </w:t>
            </w:r>
          </w:p>
        </w:tc>
        <w:tc>
          <w:tcPr>
            <w:tcW w:w="5777" w:type="dxa"/>
            <w:tcBorders/>
            <w:shd w:fill="F1EBD0" w:val="clear"/>
            <w:vAlign w:val="center"/>
          </w:tcPr>
          <w:p>
            <w:pPr>
              <w:pStyle w:val="TableContents"/>
              <w:bidi w:val="0"/>
              <w:spacing w:before="0" w:after="283"/>
              <w:jc w:val="left"/>
              <w:rPr/>
            </w:pPr>
            <w:r>
              <w:rPr/>
              <w:t>Capped PSU Vesting Levels</w:t>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0"/>
              <w:jc w:val="left"/>
              <w:rPr>
                <w:rFonts w:ascii="Times New Roman" w:hAnsi="Times New Roman"/>
                <w:i/>
                <w:color w:val="004876"/>
                <w:sz w:val="18"/>
              </w:rPr>
            </w:pPr>
            <w:r>
              <w:rPr>
                <w:rFonts w:ascii="Times New Roman" w:hAnsi="Times New Roman"/>
                <w:i/>
                <w:color w:val="004876"/>
                <w:sz w:val="18"/>
              </w:rPr>
              <w:t>×</w:t>
            </w:r>
          </w:p>
        </w:tc>
        <w:tc>
          <w:tcPr>
            <w:tcW w:w="120" w:type="dxa"/>
            <w:tcBorders/>
            <w:shd w:fill="F1EBD0" w:val="clear"/>
            <w:vAlign w:val="center"/>
          </w:tcPr>
          <w:p>
            <w:pPr>
              <w:pStyle w:val="TableContents"/>
              <w:bidi w:val="0"/>
              <w:spacing w:before="0" w:after="283"/>
              <w:jc w:val="left"/>
              <w:rPr/>
            </w:pPr>
            <w:r>
              <w:rPr/>
              <w:t>  </w:t>
            </w:r>
          </w:p>
        </w:tc>
        <w:tc>
          <w:tcPr>
            <w:tcW w:w="2667" w:type="dxa"/>
            <w:tcBorders/>
            <w:shd w:fill="F1EBD0" w:val="clear"/>
            <w:vAlign w:val="center"/>
          </w:tcPr>
          <w:p>
            <w:pPr>
              <w:pStyle w:val="TableContents"/>
              <w:bidi w:val="0"/>
              <w:spacing w:before="0" w:after="283"/>
              <w:jc w:val="left"/>
              <w:rPr/>
            </w:pPr>
            <w:r>
              <w:rPr/>
              <w:t>No Excise Tax Gross Ups upon Change in Control</w:t>
            </w:r>
          </w:p>
        </w:tc>
        <w:tc>
          <w:tcPr>
            <w:tcW w:w="60" w:type="dxa"/>
            <w:tcBorders/>
            <w:shd w:fill="F1EBD0" w:val="clear"/>
            <w:vAlign w:val="center"/>
          </w:tcPr>
          <w:p>
            <w:pPr>
              <w:pStyle w:val="TableContents"/>
              <w:bidi w:val="0"/>
              <w:spacing w:before="0" w:after="283"/>
              <w:jc w:val="left"/>
              <w:rPr/>
            </w:pPr>
            <w:r>
              <w:rPr/>
              <w:t> </w:t>
            </w:r>
          </w:p>
        </w:tc>
        <w:tc>
          <w:tcPr>
            <w:tcW w:w="156" w:type="dxa"/>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290" w:type="dxa"/>
            <w:gridSpan w:val="2"/>
            <w:tcBorders/>
            <w:shd w:fill="F1EBD0" w:val="clear"/>
            <w:vAlign w:val="center"/>
          </w:tcPr>
          <w:p>
            <w:pPr>
              <w:pStyle w:val="TableContents"/>
              <w:bidi w:val="0"/>
              <w:spacing w:before="0" w:after="283"/>
              <w:jc w:val="left"/>
              <w:rPr>
                <w:sz w:val="4"/>
                <w:szCs w:val="4"/>
              </w:rPr>
            </w:pPr>
            <w:r>
              <w:rPr>
                <w:sz w:val="4"/>
                <w:szCs w:val="4"/>
              </w:rPr>
            </w:r>
          </w:p>
        </w:tc>
        <w:tc>
          <w:tcPr>
            <w:tcW w:w="5837"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787" w:type="dxa"/>
            <w:gridSpan w:val="2"/>
            <w:tcBorders/>
            <w:shd w:fill="F1EBD0" w:val="clear"/>
            <w:vAlign w:val="center"/>
          </w:tcPr>
          <w:p>
            <w:pPr>
              <w:pStyle w:val="TableContents"/>
              <w:bidi w:val="0"/>
              <w:spacing w:before="0" w:after="283"/>
              <w:jc w:val="left"/>
              <w:rPr>
                <w:sz w:val="4"/>
                <w:szCs w:val="4"/>
              </w:rPr>
            </w:pPr>
            <w:r>
              <w:rPr>
                <w:sz w:val="4"/>
                <w:szCs w:val="4"/>
              </w:rPr>
            </w:r>
          </w:p>
        </w:tc>
        <w:tc>
          <w:tcPr>
            <w:tcW w:w="216" w:type="dxa"/>
            <w:gridSpan w:val="2"/>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230" w:type="dxa"/>
            <w:tcBorders/>
            <w:shd w:fill="F1EBD0" w:val="clear"/>
            <w:vAlign w:val="center"/>
          </w:tcPr>
          <w:p>
            <w:pPr>
              <w:pStyle w:val="TableContents"/>
              <w:bidi w:val="0"/>
              <w:spacing w:before="0" w:after="0"/>
              <w:jc w:val="left"/>
              <w:rPr>
                <w:color w:val="004876"/>
              </w:rPr>
            </w:pPr>
            <w:r>
              <w:rPr>
                <w:color w:val="004876"/>
              </w:rPr>
              <w:t>✓</w:t>
            </w:r>
          </w:p>
        </w:tc>
        <w:tc>
          <w:tcPr>
            <w:tcW w:w="60" w:type="dxa"/>
            <w:tcBorders/>
            <w:shd w:fill="F1EBD0" w:val="clear"/>
            <w:vAlign w:val="center"/>
          </w:tcPr>
          <w:p>
            <w:pPr>
              <w:pStyle w:val="TableContents"/>
              <w:bidi w:val="0"/>
              <w:spacing w:before="0" w:after="283"/>
              <w:jc w:val="left"/>
              <w:rPr/>
            </w:pPr>
            <w:r>
              <w:rPr/>
              <w:t> </w:t>
            </w:r>
          </w:p>
        </w:tc>
        <w:tc>
          <w:tcPr>
            <w:tcW w:w="5777" w:type="dxa"/>
            <w:tcBorders/>
            <w:shd w:fill="F1EBD0" w:val="clear"/>
            <w:vAlign w:val="center"/>
          </w:tcPr>
          <w:p>
            <w:pPr>
              <w:pStyle w:val="TableContents"/>
              <w:bidi w:val="0"/>
              <w:spacing w:before="0" w:after="283"/>
              <w:jc w:val="left"/>
              <w:rPr/>
            </w:pPr>
            <w:r>
              <w:rPr/>
              <w:t>Payouts Tied to Individual and Company Performance, with Majority of Payout Determined by Pre-Established Formula and Goal</w:t>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120" w:type="dxa"/>
            <w:tcBorders/>
            <w:shd w:fill="F1EBD0" w:val="clear"/>
            <w:vAlign w:val="center"/>
          </w:tcPr>
          <w:p>
            <w:pPr>
              <w:pStyle w:val="TableContents"/>
              <w:bidi w:val="0"/>
              <w:spacing w:before="0" w:after="283"/>
              <w:jc w:val="left"/>
              <w:rPr/>
            </w:pPr>
            <w:r>
              <w:rPr/>
              <w:t>  </w:t>
            </w:r>
          </w:p>
        </w:tc>
        <w:tc>
          <w:tcPr>
            <w:tcW w:w="2667"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56" w:type="dxa"/>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290" w:type="dxa"/>
            <w:gridSpan w:val="2"/>
            <w:tcBorders/>
            <w:shd w:fill="F1EBD0" w:val="clear"/>
            <w:vAlign w:val="center"/>
          </w:tcPr>
          <w:p>
            <w:pPr>
              <w:pStyle w:val="TableContents"/>
              <w:bidi w:val="0"/>
              <w:spacing w:before="0" w:after="283"/>
              <w:jc w:val="left"/>
              <w:rPr>
                <w:sz w:val="4"/>
                <w:szCs w:val="4"/>
              </w:rPr>
            </w:pPr>
            <w:r>
              <w:rPr>
                <w:sz w:val="4"/>
                <w:szCs w:val="4"/>
              </w:rPr>
            </w:r>
          </w:p>
        </w:tc>
        <w:tc>
          <w:tcPr>
            <w:tcW w:w="5837"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787" w:type="dxa"/>
            <w:gridSpan w:val="2"/>
            <w:tcBorders/>
            <w:shd w:fill="F1EBD0" w:val="clear"/>
            <w:vAlign w:val="center"/>
          </w:tcPr>
          <w:p>
            <w:pPr>
              <w:pStyle w:val="TableContents"/>
              <w:bidi w:val="0"/>
              <w:spacing w:before="0" w:after="283"/>
              <w:jc w:val="left"/>
              <w:rPr>
                <w:sz w:val="4"/>
                <w:szCs w:val="4"/>
              </w:rPr>
            </w:pPr>
            <w:r>
              <w:rPr>
                <w:sz w:val="4"/>
                <w:szCs w:val="4"/>
              </w:rPr>
            </w:r>
          </w:p>
        </w:tc>
        <w:tc>
          <w:tcPr>
            <w:tcW w:w="216" w:type="dxa"/>
            <w:gridSpan w:val="2"/>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230" w:type="dxa"/>
            <w:tcBorders/>
            <w:shd w:fill="F1EBD0" w:val="clear"/>
            <w:vAlign w:val="center"/>
          </w:tcPr>
          <w:p>
            <w:pPr>
              <w:pStyle w:val="TableContents"/>
              <w:bidi w:val="0"/>
              <w:spacing w:before="0" w:after="0"/>
              <w:jc w:val="left"/>
              <w:rPr>
                <w:color w:val="004876"/>
              </w:rPr>
            </w:pPr>
            <w:r>
              <w:rPr>
                <w:color w:val="004876"/>
              </w:rPr>
              <w:t>✓</w:t>
            </w:r>
          </w:p>
        </w:tc>
        <w:tc>
          <w:tcPr>
            <w:tcW w:w="60" w:type="dxa"/>
            <w:tcBorders/>
            <w:shd w:fill="F1EBD0" w:val="clear"/>
            <w:vAlign w:val="center"/>
          </w:tcPr>
          <w:p>
            <w:pPr>
              <w:pStyle w:val="TableContents"/>
              <w:bidi w:val="0"/>
              <w:spacing w:before="0" w:after="283"/>
              <w:jc w:val="left"/>
              <w:rPr/>
            </w:pPr>
            <w:r>
              <w:rPr/>
              <w:t> </w:t>
            </w:r>
          </w:p>
        </w:tc>
        <w:tc>
          <w:tcPr>
            <w:tcW w:w="5777" w:type="dxa"/>
            <w:tcBorders/>
            <w:shd w:fill="F1EBD0" w:val="clear"/>
            <w:vAlign w:val="center"/>
          </w:tcPr>
          <w:p>
            <w:pPr>
              <w:pStyle w:val="TableContents"/>
              <w:bidi w:val="0"/>
              <w:spacing w:before="0" w:after="283"/>
              <w:jc w:val="left"/>
              <w:rPr/>
            </w:pPr>
            <w:r>
              <w:rPr/>
              <w:t>Use of an Independent Compensation Consultant</w:t>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120" w:type="dxa"/>
            <w:tcBorders/>
            <w:shd w:fill="F1EBD0" w:val="clear"/>
            <w:vAlign w:val="center"/>
          </w:tcPr>
          <w:p>
            <w:pPr>
              <w:pStyle w:val="TableContents"/>
              <w:bidi w:val="0"/>
              <w:spacing w:before="0" w:after="283"/>
              <w:jc w:val="left"/>
              <w:rPr/>
            </w:pPr>
            <w:r>
              <w:rPr/>
              <w:t>  </w:t>
            </w:r>
          </w:p>
        </w:tc>
        <w:tc>
          <w:tcPr>
            <w:tcW w:w="2667"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56" w:type="dxa"/>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290" w:type="dxa"/>
            <w:gridSpan w:val="2"/>
            <w:tcBorders/>
            <w:shd w:fill="F1EBD0" w:val="clear"/>
            <w:vAlign w:val="center"/>
          </w:tcPr>
          <w:p>
            <w:pPr>
              <w:pStyle w:val="TableContents"/>
              <w:bidi w:val="0"/>
              <w:spacing w:before="0" w:after="283"/>
              <w:jc w:val="left"/>
              <w:rPr>
                <w:sz w:val="4"/>
                <w:szCs w:val="4"/>
              </w:rPr>
            </w:pPr>
            <w:r>
              <w:rPr>
                <w:sz w:val="4"/>
                <w:szCs w:val="4"/>
              </w:rPr>
            </w:r>
          </w:p>
        </w:tc>
        <w:tc>
          <w:tcPr>
            <w:tcW w:w="5837"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787" w:type="dxa"/>
            <w:gridSpan w:val="2"/>
            <w:tcBorders/>
            <w:shd w:fill="F1EBD0" w:val="clear"/>
            <w:vAlign w:val="center"/>
          </w:tcPr>
          <w:p>
            <w:pPr>
              <w:pStyle w:val="TableContents"/>
              <w:bidi w:val="0"/>
              <w:spacing w:before="0" w:after="283"/>
              <w:jc w:val="left"/>
              <w:rPr>
                <w:sz w:val="4"/>
                <w:szCs w:val="4"/>
              </w:rPr>
            </w:pPr>
            <w:r>
              <w:rPr>
                <w:sz w:val="4"/>
                <w:szCs w:val="4"/>
              </w:rPr>
            </w:r>
          </w:p>
        </w:tc>
        <w:tc>
          <w:tcPr>
            <w:tcW w:w="216" w:type="dxa"/>
            <w:gridSpan w:val="2"/>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230" w:type="dxa"/>
            <w:tcBorders/>
            <w:shd w:fill="F1EBD0" w:val="clear"/>
            <w:vAlign w:val="center"/>
          </w:tcPr>
          <w:p>
            <w:pPr>
              <w:pStyle w:val="TableContents"/>
              <w:bidi w:val="0"/>
              <w:spacing w:before="0" w:after="0"/>
              <w:jc w:val="left"/>
              <w:rPr>
                <w:color w:val="004876"/>
              </w:rPr>
            </w:pPr>
            <w:r>
              <w:rPr>
                <w:color w:val="004876"/>
              </w:rPr>
              <w:t>✓</w:t>
            </w:r>
          </w:p>
        </w:tc>
        <w:tc>
          <w:tcPr>
            <w:tcW w:w="60" w:type="dxa"/>
            <w:tcBorders/>
            <w:shd w:fill="F1EBD0" w:val="clear"/>
            <w:vAlign w:val="center"/>
          </w:tcPr>
          <w:p>
            <w:pPr>
              <w:pStyle w:val="TableContents"/>
              <w:bidi w:val="0"/>
              <w:spacing w:before="0" w:after="283"/>
              <w:jc w:val="left"/>
              <w:rPr/>
            </w:pPr>
            <w:r>
              <w:rPr/>
              <w:t> </w:t>
            </w:r>
          </w:p>
        </w:tc>
        <w:tc>
          <w:tcPr>
            <w:tcW w:w="5777" w:type="dxa"/>
            <w:tcBorders/>
            <w:shd w:fill="F1EBD0" w:val="clear"/>
            <w:vAlign w:val="center"/>
          </w:tcPr>
          <w:p>
            <w:pPr>
              <w:pStyle w:val="TableContents"/>
              <w:bidi w:val="0"/>
              <w:spacing w:before="0" w:after="283"/>
              <w:jc w:val="left"/>
              <w:rPr/>
            </w:pPr>
            <w:r>
              <w:rPr/>
              <w:t>Anti-Hedging Policy Applicable to Directors and Employees</w:t>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120" w:type="dxa"/>
            <w:tcBorders/>
            <w:shd w:fill="F1EBD0" w:val="clear"/>
            <w:vAlign w:val="center"/>
          </w:tcPr>
          <w:p>
            <w:pPr>
              <w:pStyle w:val="TableContents"/>
              <w:bidi w:val="0"/>
              <w:spacing w:before="0" w:after="283"/>
              <w:jc w:val="left"/>
              <w:rPr/>
            </w:pPr>
            <w:r>
              <w:rPr/>
              <w:t>  </w:t>
            </w:r>
          </w:p>
        </w:tc>
        <w:tc>
          <w:tcPr>
            <w:tcW w:w="2667"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56" w:type="dxa"/>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290" w:type="dxa"/>
            <w:gridSpan w:val="2"/>
            <w:tcBorders/>
            <w:shd w:fill="F1EBD0" w:val="clear"/>
            <w:vAlign w:val="center"/>
          </w:tcPr>
          <w:p>
            <w:pPr>
              <w:pStyle w:val="TableContents"/>
              <w:bidi w:val="0"/>
              <w:spacing w:before="0" w:after="283"/>
              <w:jc w:val="left"/>
              <w:rPr>
                <w:sz w:val="4"/>
                <w:szCs w:val="4"/>
              </w:rPr>
            </w:pPr>
            <w:r>
              <w:rPr>
                <w:sz w:val="4"/>
                <w:szCs w:val="4"/>
              </w:rPr>
            </w:r>
          </w:p>
        </w:tc>
        <w:tc>
          <w:tcPr>
            <w:tcW w:w="5837"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00" w:type="dxa"/>
            <w:gridSpan w:val="2"/>
            <w:tcBorders/>
            <w:shd w:fill="F1EBD0" w:val="clear"/>
            <w:vAlign w:val="center"/>
          </w:tcPr>
          <w:p>
            <w:pPr>
              <w:pStyle w:val="TableContents"/>
              <w:bidi w:val="0"/>
              <w:spacing w:before="0" w:after="283"/>
              <w:jc w:val="left"/>
              <w:rPr>
                <w:sz w:val="4"/>
                <w:szCs w:val="4"/>
              </w:rPr>
            </w:pPr>
            <w:r>
              <w:rPr>
                <w:sz w:val="4"/>
                <w:szCs w:val="4"/>
              </w:rPr>
            </w:r>
          </w:p>
        </w:tc>
        <w:tc>
          <w:tcPr>
            <w:tcW w:w="2787" w:type="dxa"/>
            <w:gridSpan w:val="2"/>
            <w:tcBorders/>
            <w:shd w:fill="F1EBD0" w:val="clear"/>
            <w:vAlign w:val="center"/>
          </w:tcPr>
          <w:p>
            <w:pPr>
              <w:pStyle w:val="TableContents"/>
              <w:bidi w:val="0"/>
              <w:spacing w:before="0" w:after="283"/>
              <w:jc w:val="left"/>
              <w:rPr>
                <w:sz w:val="4"/>
                <w:szCs w:val="4"/>
              </w:rPr>
            </w:pPr>
            <w:r>
              <w:rPr>
                <w:sz w:val="4"/>
                <w:szCs w:val="4"/>
              </w:rPr>
            </w:r>
          </w:p>
        </w:tc>
        <w:tc>
          <w:tcPr>
            <w:tcW w:w="216" w:type="dxa"/>
            <w:gridSpan w:val="2"/>
            <w:tcBorders/>
            <w:shd w:fill="F1EBD0" w:val="clear"/>
            <w:vAlign w:val="center"/>
          </w:tcPr>
          <w:p>
            <w:pPr>
              <w:pStyle w:val="TableContents"/>
              <w:bidi w:val="0"/>
              <w:spacing w:before="0" w:after="283"/>
              <w:jc w:val="left"/>
              <w:rPr>
                <w:sz w:val="4"/>
                <w:szCs w:val="4"/>
              </w:rPr>
            </w:pPr>
            <w:r>
              <w:rPr>
                <w:sz w:val="4"/>
                <w:szCs w:val="4"/>
              </w:rPr>
            </w:r>
          </w:p>
        </w:tc>
      </w:tr>
      <w:tr>
        <w:trPr/>
        <w:tc>
          <w:tcPr>
            <w:tcW w:w="155"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230" w:type="dxa"/>
            <w:tcBorders/>
            <w:shd w:fill="F1EBD0" w:val="clear"/>
            <w:vAlign w:val="center"/>
          </w:tcPr>
          <w:p>
            <w:pPr>
              <w:pStyle w:val="TableContents"/>
              <w:bidi w:val="0"/>
              <w:spacing w:before="0" w:after="0"/>
              <w:jc w:val="left"/>
              <w:rPr>
                <w:color w:val="004876"/>
              </w:rPr>
            </w:pPr>
            <w:r>
              <w:rPr>
                <w:color w:val="004876"/>
              </w:rPr>
              <w:t>✓</w:t>
            </w:r>
          </w:p>
        </w:tc>
        <w:tc>
          <w:tcPr>
            <w:tcW w:w="60" w:type="dxa"/>
            <w:tcBorders/>
            <w:shd w:fill="F1EBD0" w:val="clear"/>
            <w:vAlign w:val="center"/>
          </w:tcPr>
          <w:p>
            <w:pPr>
              <w:pStyle w:val="TableContents"/>
              <w:bidi w:val="0"/>
              <w:spacing w:before="0" w:after="283"/>
              <w:jc w:val="left"/>
              <w:rPr/>
            </w:pPr>
            <w:r>
              <w:rPr/>
              <w:t> </w:t>
            </w:r>
          </w:p>
        </w:tc>
        <w:tc>
          <w:tcPr>
            <w:tcW w:w="5777" w:type="dxa"/>
            <w:tcBorders/>
            <w:shd w:fill="F1EBD0" w:val="clear"/>
            <w:vAlign w:val="center"/>
          </w:tcPr>
          <w:p>
            <w:pPr>
              <w:pStyle w:val="TableContents"/>
              <w:bidi w:val="0"/>
              <w:spacing w:before="0" w:after="283"/>
              <w:jc w:val="left"/>
              <w:rPr/>
            </w:pPr>
            <w:r>
              <w:rPr/>
              <w:t>Annual Say-on-Pay Vote</w:t>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40" w:type="dxa"/>
            <w:tcBorders/>
            <w:shd w:fill="F1EBD0" w:val="clear"/>
            <w:vAlign w:val="center"/>
          </w:tcPr>
          <w:p>
            <w:pPr>
              <w:pStyle w:val="TableContents"/>
              <w:bidi w:val="0"/>
              <w:spacing w:before="0" w:after="283"/>
              <w:jc w:val="left"/>
              <w:rPr>
                <w:sz w:val="4"/>
                <w:szCs w:val="4"/>
              </w:rPr>
            </w:pPr>
            <w:r>
              <w:rPr>
                <w:sz w:val="4"/>
                <w:szCs w:val="4"/>
              </w:rPr>
            </w:r>
          </w:p>
        </w:tc>
        <w:tc>
          <w:tcPr>
            <w:tcW w:w="120" w:type="dxa"/>
            <w:tcBorders/>
            <w:shd w:fill="F1EBD0" w:val="clear"/>
            <w:vAlign w:val="center"/>
          </w:tcPr>
          <w:p>
            <w:pPr>
              <w:pStyle w:val="TableContents"/>
              <w:bidi w:val="0"/>
              <w:spacing w:before="0" w:after="283"/>
              <w:jc w:val="left"/>
              <w:rPr/>
            </w:pPr>
            <w:r>
              <w:rPr/>
              <w:t>  </w:t>
            </w:r>
          </w:p>
        </w:tc>
        <w:tc>
          <w:tcPr>
            <w:tcW w:w="2667"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shd w:fill="F1EBD0" w:val="clear"/>
            <w:vAlign w:val="center"/>
          </w:tcPr>
          <w:p>
            <w:pPr>
              <w:pStyle w:val="TableContents"/>
              <w:bidi w:val="0"/>
              <w:spacing w:before="0" w:after="283"/>
              <w:jc w:val="left"/>
              <w:rPr/>
            </w:pPr>
            <w:r>
              <w:rPr/>
              <w:t> </w:t>
            </w:r>
          </w:p>
        </w:tc>
        <w:tc>
          <w:tcPr>
            <w:tcW w:w="156" w:type="dxa"/>
            <w:tcBorders/>
            <w:shd w:fill="F1EBD0"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20"/>
        </w:rPr>
      </w:pPr>
      <w:r>
        <w:rPr>
          <w:rFonts w:ascii="arial" w:hAnsi="arial"/>
          <w:sz w:val="20"/>
        </w:rPr>
        <w:t xml:space="preserve">The fundamental philosophy of the Committee is to provide an executive compensation program that links pay to business strategy and performance in a manner that is effective in attracting, motivating and retaining key executives while also aligning the interests of the executives with the interests of shareholders over the long-term. To that end, the Committee evaluates the pay practices of its peers and generally considers the median of the peer group. In order to continue to support the Company’s high-performance and entrepreneurial culture, the Company’s key principles underlying the executive compensation program are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Attract and retain executives with the skills and experience needed to successfully grow the Company and create value for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Create an entrepreneurial culture and mindset by de-emphasizing fixed pay (primarily salary) and focusing a significant percentage of compensation on at-risk pay elements (annual and long-term incentives);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Motivate and reward executives for achieving exceptional performance supportive of creating value for shareholders over the long-term. </w:t>
            </w:r>
          </w:p>
        </w:tc>
      </w:tr>
    </w:tbl>
    <w:p>
      <w:pPr>
        <w:pStyle w:val="TextBody"/>
        <w:bidi w:val="0"/>
        <w:spacing w:before="240" w:after="0"/>
        <w:jc w:val="left"/>
        <w:rPr>
          <w:rFonts w:ascii="arial" w:hAnsi="arial"/>
          <w:sz w:val="20"/>
        </w:rPr>
      </w:pPr>
      <w:r>
        <w:rPr>
          <w:rFonts w:ascii="arial" w:hAnsi="arial"/>
          <w:sz w:val="20"/>
        </w:rPr>
        <w:t xml:space="preserve">The Committee will continue to evaluate its pay practices and, when it deems appropriate, adjust its pay practices to support these principles over time. </w:t>
      </w:r>
    </w:p>
    <w:p>
      <w:pPr>
        <w:pStyle w:val="TextBody"/>
        <w:bidi w:val="0"/>
        <w:spacing w:before="360" w:after="0"/>
        <w:jc w:val="left"/>
        <w:rPr>
          <w:rFonts w:ascii="arial" w:hAnsi="arial"/>
          <w:b/>
          <w:color w:val="004876"/>
          <w:sz w:val="20"/>
        </w:rPr>
      </w:pPr>
      <w:bookmarkStart w:id="46" w:name="toc123994_40"/>
      <w:bookmarkStart w:id="47" w:name="txa123994_5"/>
      <w:bookmarkEnd w:id="46"/>
      <w:bookmarkEnd w:id="47"/>
      <w:r>
        <w:rPr>
          <w:rFonts w:ascii="arial" w:hAnsi="arial"/>
          <w:b/>
          <w:color w:val="004876"/>
          <w:sz w:val="20"/>
        </w:rPr>
        <w:t xml:space="preserve">2025 “Say-on-Pay” Advisory Vote on Executive Compensation </w:t>
      </w:r>
    </w:p>
    <w:p>
      <w:pPr>
        <w:pStyle w:val="TextBody"/>
        <w:bidi w:val="0"/>
        <w:spacing w:before="120" w:after="0"/>
        <w:jc w:val="left"/>
        <w:rPr>
          <w:rFonts w:ascii="arial" w:hAnsi="arial"/>
          <w:sz w:val="20"/>
        </w:rPr>
      </w:pPr>
      <w:r>
        <w:rPr>
          <w:rFonts w:ascii="arial" w:hAnsi="arial"/>
          <w:sz w:val="20"/>
        </w:rPr>
        <w:t xml:space="preserve">The Committee monitors closely the results of the annual advisory “say-on-pay” vote and evaluates such results as one of the many factors considered in connection with the discharge of its responsibilities. In 2025, the Company provided shareholders a “say-on-pay” advisory vote on its executive compensation program, as disclosed in the Company’s 2025 proxy statement. At the 2025 annual meeting of shareholders, approximately 97% of the votes cast for the “say-on-pay” proposal were in favor of our executive compensation program. We believe that this result indicates significant shareholder support for our executive compensation program, and therefore made no changes to our executive compensation program as a result of this vote. At the Annual Meeting, we are again holding an advisory vote on executive compensation and will continue to engage with our shareholders as we constantly consider further improvements to our executive compensation program. </w:t>
      </w:r>
    </w:p>
    <w:p>
      <w:pPr>
        <w:pStyle w:val="TextBody"/>
        <w:bidi w:val="0"/>
        <w:spacing w:before="360" w:after="0"/>
        <w:jc w:val="left"/>
        <w:rPr>
          <w:rFonts w:ascii="arial" w:hAnsi="arial"/>
          <w:b/>
          <w:color w:val="004876"/>
          <w:sz w:val="20"/>
        </w:rPr>
      </w:pPr>
      <w:bookmarkStart w:id="48" w:name="toc123994_41"/>
      <w:bookmarkStart w:id="49" w:name="txa123994_6"/>
      <w:bookmarkEnd w:id="48"/>
      <w:bookmarkEnd w:id="49"/>
      <w:r>
        <w:rPr>
          <w:rFonts w:ascii="arial" w:hAnsi="arial"/>
          <w:b/>
          <w:color w:val="004876"/>
          <w:sz w:val="20"/>
        </w:rPr>
        <w:t xml:space="preserve">Role of Management and Independent Advisors </w:t>
      </w:r>
    </w:p>
    <w:p>
      <w:pPr>
        <w:pStyle w:val="TextBody"/>
        <w:bidi w:val="0"/>
        <w:spacing w:before="120" w:after="0"/>
        <w:jc w:val="left"/>
        <w:rPr>
          <w:rFonts w:ascii="arial" w:hAnsi="arial"/>
          <w:sz w:val="20"/>
        </w:rPr>
      </w:pPr>
      <w:r>
        <w:rPr>
          <w:rFonts w:ascii="arial" w:hAnsi="arial"/>
          <w:sz w:val="20"/>
        </w:rPr>
        <w:t xml:space="preserve">The Committee meetings are regularly attended by the CEO, the Senior Vice President of Human Resources, the Vice President of Human Resources, and the General Counsel. The Committee may request the participation of management or outside consultants as it deems necessary or appropriate. The Committee regularly reports to the Board on compensation matters and annually reviews the CEO’s compensation with the independent members of the Board. </w:t>
      </w:r>
    </w:p>
    <w:p>
      <w:pPr>
        <w:pStyle w:val="TextBody"/>
        <w:bidi w:val="0"/>
        <w:spacing w:before="240" w:after="0"/>
        <w:jc w:val="left"/>
        <w:rPr>
          <w:rFonts w:ascii="arial" w:hAnsi="arial"/>
          <w:sz w:val="20"/>
        </w:rPr>
      </w:pPr>
      <w:r>
        <w:rPr>
          <w:rFonts w:ascii="arial" w:hAnsi="arial"/>
          <w:sz w:val="20"/>
        </w:rPr>
        <w:t xml:space="preserve">The Committee also meets in executive session without any members of management for the purpose of discussing and approving compensation for the CEO, as well as other topics. The CEO reviews the performance of, and makes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30</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7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8" descr=""/>
                          <pic:cNvPicPr>
                            <a:picLocks noChangeAspect="1" noChangeArrowheads="1"/>
                          </pic:cNvPicPr>
                        </pic:nvPicPr>
                        <pic:blipFill>
                          <a:blip r:embed="rId69"/>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recommendations to, the Committee regarding total compensation to be paid to the Company’s executive officers other than himself, including salary, annual bonus, and long-term incentive awards, as appropriate. Management also develops and presents to the Committee recommendations for the performance measures and targets to be used to evaluate annual performance incentives. </w:t>
      </w:r>
    </w:p>
    <w:p>
      <w:pPr>
        <w:pStyle w:val="TextBody"/>
        <w:bidi w:val="0"/>
        <w:spacing w:before="240" w:after="0"/>
        <w:jc w:val="left"/>
        <w:rPr>
          <w:rFonts w:ascii="arial" w:hAnsi="arial"/>
          <w:sz w:val="20"/>
        </w:rPr>
      </w:pPr>
      <w:r>
        <w:rPr>
          <w:rFonts w:ascii="arial" w:hAnsi="arial"/>
          <w:sz w:val="20"/>
        </w:rPr>
        <w:t xml:space="preserve">After the end of each fiscal year, the Committee conducts a review of the CEO’s performance. As part of this process, the CEO provides a written assessment of the Company’s performance. The Committee sets the compensation of the CEO in executive session after considering its assessment of the CEO’s performance, including due consideration of the CEO’s written assessment of the Company’s performance. Neither the CEO nor any other members of management are present during this session. </w:t>
      </w:r>
    </w:p>
    <w:p>
      <w:pPr>
        <w:pStyle w:val="TextBody"/>
        <w:bidi w:val="0"/>
        <w:spacing w:before="240" w:after="0"/>
        <w:jc w:val="left"/>
        <w:rPr>
          <w:rFonts w:ascii="arial" w:hAnsi="arial"/>
          <w:sz w:val="20"/>
        </w:rPr>
      </w:pPr>
      <w:r>
        <w:rPr>
          <w:rFonts w:ascii="arial" w:hAnsi="arial"/>
          <w:sz w:val="20"/>
        </w:rPr>
        <w:t xml:space="preserve">The Committee has sole discretion, at the Company’s expense, to retain and terminate independent advisors, including sole authority to approve the fees and retention terms for such advisors, if it shall determine the services of such advisors to be necessary or appropriate. Such advisors are engaged by, and report directly to, the Committee. Since March 2015, the Committee has retained Frederic W. Cook &amp; Co., Inc. (“FW Cook”) as its independent compensation consultant. The scope of the engagement of FW Cook includes: </w:t>
      </w:r>
    </w:p>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185"/>
        <w:gridCol w:w="8960"/>
      </w:tblGrid>
      <w:tr>
        <w:trPr/>
        <w:tc>
          <w:tcPr>
            <w:tcW w:w="185" w:type="dxa"/>
            <w:tcBorders/>
            <w:vAlign w:val="center"/>
          </w:tcPr>
          <w:p>
            <w:pPr>
              <w:pStyle w:val="TableContents"/>
              <w:bidi w:val="0"/>
              <w:spacing w:before="0" w:after="283"/>
              <w:jc w:val="left"/>
              <w:rPr>
                <w:color w:val="004876"/>
              </w:rPr>
            </w:pPr>
            <w:r>
              <w:rPr>
                <w:color w:val="004876"/>
              </w:rPr>
              <w:t>●</w:t>
            </w:r>
          </w:p>
        </w:tc>
        <w:tc>
          <w:tcPr>
            <w:tcW w:w="8960" w:type="dxa"/>
            <w:tcBorders/>
            <w:vAlign w:val="center"/>
          </w:tcPr>
          <w:p>
            <w:pPr>
              <w:pStyle w:val="TableContents"/>
              <w:bidi w:val="0"/>
              <w:spacing w:before="0" w:after="0"/>
              <w:jc w:val="left"/>
              <w:rPr>
                <w:rFonts w:ascii="arial" w:hAnsi="arial"/>
                <w:sz w:val="20"/>
              </w:rPr>
            </w:pPr>
            <w:r>
              <w:rPr>
                <w:rFonts w:ascii="arial" w:hAnsi="arial"/>
                <w:sz w:val="20"/>
              </w:rPr>
              <w:t xml:space="preserve">Assisting the Chair of the Committee in establishing appropriate agendas for the Committee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Reviewing management reports and recommendations to the Committee related to executive compensation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Attending Committee meetings and providing the Committee with input and advice based on the advisor’s broad experience with market practices, including a perspective regarding the competitive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Assisting with the review of pay and performance and the evaluation of payouts under the Company’s annual and long-term incentive programs;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185"/>
        <w:gridCol w:w="7115"/>
      </w:tblGrid>
      <w:tr>
        <w:trPr/>
        <w:tc>
          <w:tcPr>
            <w:tcW w:w="185" w:type="dxa"/>
            <w:tcBorders/>
            <w:vAlign w:val="center"/>
          </w:tcPr>
          <w:p>
            <w:pPr>
              <w:pStyle w:val="TableContents"/>
              <w:bidi w:val="0"/>
              <w:spacing w:before="0" w:after="283"/>
              <w:jc w:val="left"/>
              <w:rPr>
                <w:color w:val="004876"/>
              </w:rPr>
            </w:pPr>
            <w:r>
              <w:rPr>
                <w:color w:val="004876"/>
              </w:rPr>
              <w:t>●</w:t>
            </w:r>
          </w:p>
        </w:tc>
        <w:tc>
          <w:tcPr>
            <w:tcW w:w="7115" w:type="dxa"/>
            <w:tcBorders/>
            <w:vAlign w:val="center"/>
          </w:tcPr>
          <w:p>
            <w:pPr>
              <w:pStyle w:val="TableContents"/>
              <w:bidi w:val="0"/>
              <w:spacing w:before="0" w:after="0"/>
              <w:jc w:val="left"/>
              <w:rPr>
                <w:rFonts w:ascii="arial" w:hAnsi="arial"/>
                <w:sz w:val="20"/>
              </w:rPr>
            </w:pPr>
            <w:r>
              <w:rPr>
                <w:rFonts w:ascii="arial" w:hAnsi="arial"/>
                <w:sz w:val="20"/>
              </w:rPr>
              <w:t xml:space="preserve">Assisting with the review and evaluation of non-employee director compensation;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185"/>
        <w:gridCol w:w="6965"/>
      </w:tblGrid>
      <w:tr>
        <w:trPr/>
        <w:tc>
          <w:tcPr>
            <w:tcW w:w="185" w:type="dxa"/>
            <w:tcBorders/>
            <w:vAlign w:val="center"/>
          </w:tcPr>
          <w:p>
            <w:pPr>
              <w:pStyle w:val="TableContents"/>
              <w:bidi w:val="0"/>
              <w:spacing w:before="0" w:after="283"/>
              <w:jc w:val="left"/>
              <w:rPr>
                <w:color w:val="004876"/>
              </w:rPr>
            </w:pPr>
            <w:r>
              <w:rPr>
                <w:color w:val="004876"/>
              </w:rPr>
              <w:t>●</w:t>
            </w:r>
          </w:p>
        </w:tc>
        <w:tc>
          <w:tcPr>
            <w:tcW w:w="6965" w:type="dxa"/>
            <w:tcBorders/>
            <w:vAlign w:val="center"/>
          </w:tcPr>
          <w:p>
            <w:pPr>
              <w:pStyle w:val="TableContents"/>
              <w:bidi w:val="0"/>
              <w:spacing w:before="0" w:after="0"/>
              <w:jc w:val="left"/>
              <w:rPr>
                <w:rFonts w:ascii="arial" w:hAnsi="arial"/>
                <w:sz w:val="20"/>
              </w:rPr>
            </w:pPr>
            <w:r>
              <w:rPr>
                <w:rFonts w:ascii="arial" w:hAnsi="arial"/>
                <w:sz w:val="20"/>
              </w:rPr>
              <w:t xml:space="preserve">Assisting the Committee in identifying similarly-situated peer group companies;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185"/>
        <w:gridCol w:w="8045"/>
      </w:tblGrid>
      <w:tr>
        <w:trPr/>
        <w:tc>
          <w:tcPr>
            <w:tcW w:w="185" w:type="dxa"/>
            <w:tcBorders/>
            <w:vAlign w:val="center"/>
          </w:tcPr>
          <w:p>
            <w:pPr>
              <w:pStyle w:val="TableContents"/>
              <w:bidi w:val="0"/>
              <w:spacing w:before="0" w:after="283"/>
              <w:jc w:val="left"/>
              <w:rPr>
                <w:color w:val="004876"/>
              </w:rPr>
            </w:pPr>
            <w:r>
              <w:rPr>
                <w:color w:val="004876"/>
              </w:rPr>
              <w:t>●</w:t>
            </w:r>
          </w:p>
        </w:tc>
        <w:tc>
          <w:tcPr>
            <w:tcW w:w="8045" w:type="dxa"/>
            <w:tcBorders/>
            <w:vAlign w:val="center"/>
          </w:tcPr>
          <w:p>
            <w:pPr>
              <w:pStyle w:val="TableContents"/>
              <w:bidi w:val="0"/>
              <w:spacing w:before="0" w:after="0"/>
              <w:jc w:val="left"/>
              <w:rPr>
                <w:rFonts w:ascii="arial" w:hAnsi="arial"/>
                <w:sz w:val="20"/>
              </w:rPr>
            </w:pPr>
            <w:r>
              <w:rPr>
                <w:rFonts w:ascii="arial" w:hAnsi="arial"/>
                <w:sz w:val="20"/>
              </w:rPr>
              <w:t xml:space="preserve">Providing the Committee and management with data on market practices for executive pay;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185"/>
        <w:gridCol w:w="7955"/>
      </w:tblGrid>
      <w:tr>
        <w:trPr/>
        <w:tc>
          <w:tcPr>
            <w:tcW w:w="185" w:type="dxa"/>
            <w:tcBorders/>
            <w:vAlign w:val="center"/>
          </w:tcPr>
          <w:p>
            <w:pPr>
              <w:pStyle w:val="TableContents"/>
              <w:bidi w:val="0"/>
              <w:spacing w:before="0" w:after="283"/>
              <w:jc w:val="left"/>
              <w:rPr>
                <w:color w:val="004876"/>
              </w:rPr>
            </w:pPr>
            <w:r>
              <w:rPr>
                <w:color w:val="004876"/>
              </w:rPr>
              <w:t>●</w:t>
            </w:r>
          </w:p>
        </w:tc>
        <w:tc>
          <w:tcPr>
            <w:tcW w:w="7955" w:type="dxa"/>
            <w:tcBorders/>
            <w:vAlign w:val="center"/>
          </w:tcPr>
          <w:p>
            <w:pPr>
              <w:pStyle w:val="TableContents"/>
              <w:bidi w:val="0"/>
              <w:spacing w:before="0" w:after="0"/>
              <w:jc w:val="left"/>
              <w:rPr>
                <w:rFonts w:ascii="arial" w:hAnsi="arial"/>
                <w:sz w:val="20"/>
              </w:rPr>
            </w:pPr>
            <w:r>
              <w:rPr>
                <w:rFonts w:ascii="arial" w:hAnsi="arial"/>
                <w:sz w:val="20"/>
              </w:rPr>
              <w:t xml:space="preserve">On behalf of the Committee, assisting management with disclosures, including this CD&amp;A;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185"/>
        <w:gridCol w:w="6695"/>
      </w:tblGrid>
      <w:tr>
        <w:trPr/>
        <w:tc>
          <w:tcPr>
            <w:tcW w:w="185" w:type="dxa"/>
            <w:tcBorders/>
            <w:vAlign w:val="center"/>
          </w:tcPr>
          <w:p>
            <w:pPr>
              <w:pStyle w:val="TableContents"/>
              <w:bidi w:val="0"/>
              <w:spacing w:before="0" w:after="283"/>
              <w:jc w:val="left"/>
              <w:rPr>
                <w:color w:val="004876"/>
              </w:rPr>
            </w:pPr>
            <w:r>
              <w:rPr>
                <w:color w:val="004876"/>
              </w:rPr>
              <w:t>●</w:t>
            </w:r>
          </w:p>
        </w:tc>
        <w:tc>
          <w:tcPr>
            <w:tcW w:w="6695" w:type="dxa"/>
            <w:tcBorders/>
            <w:vAlign w:val="center"/>
          </w:tcPr>
          <w:p>
            <w:pPr>
              <w:pStyle w:val="TableContents"/>
              <w:bidi w:val="0"/>
              <w:spacing w:before="0" w:after="0"/>
              <w:jc w:val="left"/>
              <w:rPr>
                <w:rFonts w:ascii="arial" w:hAnsi="arial"/>
                <w:sz w:val="20"/>
              </w:rPr>
            </w:pPr>
            <w:r>
              <w:rPr>
                <w:rFonts w:ascii="arial" w:hAnsi="arial"/>
                <w:sz w:val="20"/>
              </w:rPr>
              <w:t xml:space="preserve">Providing updates to the Committee regarding regulatory developments;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Assisting the Committee in evaluating future equity grants and cash compensation for the NEOs, including the CEO. </w:t>
            </w:r>
          </w:p>
        </w:tc>
      </w:tr>
    </w:tbl>
    <w:p>
      <w:pPr>
        <w:pStyle w:val="TextBody"/>
        <w:bidi w:val="0"/>
        <w:spacing w:before="240" w:after="0"/>
        <w:jc w:val="left"/>
        <w:rPr>
          <w:rFonts w:ascii="arial" w:hAnsi="arial"/>
          <w:sz w:val="20"/>
        </w:rPr>
      </w:pPr>
      <w:r>
        <w:rPr>
          <w:rFonts w:ascii="arial" w:hAnsi="arial"/>
          <w:sz w:val="20"/>
        </w:rPr>
        <w:t xml:space="preserve">FW Cook did not provide any services to the Company other than advising the Committee as provided above. The Committee assessed FW Cook’s independence considering the SEC requirements and Nasdaq listing standards, and the Company determined that FW Cook’s work did not raise any conflict of interest or independence concerns. </w:t>
      </w:r>
    </w:p>
    <w:p>
      <w:pPr>
        <w:pStyle w:val="TextBody"/>
        <w:bidi w:val="0"/>
        <w:spacing w:before="360" w:after="0"/>
        <w:jc w:val="left"/>
        <w:rPr>
          <w:rFonts w:ascii="arial" w:hAnsi="arial"/>
          <w:b/>
          <w:color w:val="004876"/>
          <w:sz w:val="20"/>
        </w:rPr>
      </w:pPr>
      <w:bookmarkStart w:id="50" w:name="toc123994_42"/>
      <w:bookmarkStart w:id="51" w:name="txa123994_7"/>
      <w:bookmarkEnd w:id="50"/>
      <w:bookmarkEnd w:id="51"/>
      <w:r>
        <w:rPr>
          <w:rFonts w:ascii="arial" w:hAnsi="arial"/>
          <w:b/>
          <w:color w:val="004876"/>
          <w:sz w:val="20"/>
        </w:rPr>
        <w:t xml:space="preserve">Factors Used to Evaluate Pay Decisions </w:t>
      </w:r>
    </w:p>
    <w:p>
      <w:pPr>
        <w:pStyle w:val="TextBody"/>
        <w:bidi w:val="0"/>
        <w:spacing w:before="120" w:after="0"/>
        <w:jc w:val="left"/>
        <w:rPr>
          <w:rFonts w:ascii="arial" w:hAnsi="arial"/>
          <w:sz w:val="20"/>
        </w:rPr>
      </w:pPr>
      <w:r>
        <w:rPr>
          <w:rFonts w:ascii="arial" w:hAnsi="arial"/>
          <w:sz w:val="20"/>
        </w:rPr>
        <w:t xml:space="preserve">The Company seeks to obtain and retain the services of executives who bring the skills, experience, and motivation deemed necessary to significantly expand the scope and scale of the Company’s operations. Therefore, compensation decisions for individual executives are made based on a balance of many subjective factors as evaluated by the CEO in the case of his direct reports (with Committee review and approval) and the Committee in the case of the CEO. These factors include: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185"/>
        <w:gridCol w:w="8345"/>
      </w:tblGrid>
      <w:tr>
        <w:trPr/>
        <w:tc>
          <w:tcPr>
            <w:tcW w:w="185" w:type="dxa"/>
            <w:tcBorders/>
            <w:vAlign w:val="center"/>
          </w:tcPr>
          <w:p>
            <w:pPr>
              <w:pStyle w:val="TableContents"/>
              <w:bidi w:val="0"/>
              <w:spacing w:before="0" w:after="283"/>
              <w:jc w:val="left"/>
              <w:rPr>
                <w:color w:val="004876"/>
              </w:rPr>
            </w:pPr>
            <w:r>
              <w:rPr>
                <w:color w:val="004876"/>
              </w:rPr>
              <w:t>●</w:t>
            </w:r>
          </w:p>
        </w:tc>
        <w:tc>
          <w:tcPr>
            <w:tcW w:w="8345" w:type="dxa"/>
            <w:tcBorders/>
            <w:vAlign w:val="center"/>
          </w:tcPr>
          <w:p>
            <w:pPr>
              <w:pStyle w:val="TableContents"/>
              <w:bidi w:val="0"/>
              <w:spacing w:before="0" w:after="0"/>
              <w:jc w:val="left"/>
              <w:rPr>
                <w:rFonts w:ascii="arial" w:hAnsi="arial"/>
                <w:sz w:val="20"/>
              </w:rPr>
            </w:pPr>
            <w:r>
              <w:rPr>
                <w:rFonts w:ascii="arial" w:hAnsi="arial"/>
                <w:sz w:val="20"/>
              </w:rPr>
              <w:t xml:space="preserve">The scope and responsibility of the executive’s position and the perceived level of contribution;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185"/>
        <w:gridCol w:w="5975"/>
      </w:tblGrid>
      <w:tr>
        <w:trPr/>
        <w:tc>
          <w:tcPr>
            <w:tcW w:w="185" w:type="dxa"/>
            <w:tcBorders/>
            <w:vAlign w:val="center"/>
          </w:tcPr>
          <w:p>
            <w:pPr>
              <w:pStyle w:val="TableContents"/>
              <w:bidi w:val="0"/>
              <w:spacing w:before="0" w:after="283"/>
              <w:jc w:val="left"/>
              <w:rPr>
                <w:color w:val="004876"/>
              </w:rPr>
            </w:pPr>
            <w:r>
              <w:rPr>
                <w:color w:val="004876"/>
              </w:rPr>
              <w:t>●</w:t>
            </w:r>
          </w:p>
        </w:tc>
        <w:tc>
          <w:tcPr>
            <w:tcW w:w="5975" w:type="dxa"/>
            <w:tcBorders/>
            <w:vAlign w:val="center"/>
          </w:tcPr>
          <w:p>
            <w:pPr>
              <w:pStyle w:val="TableContents"/>
              <w:bidi w:val="0"/>
              <w:spacing w:before="0" w:after="0"/>
              <w:jc w:val="left"/>
              <w:rPr>
                <w:rFonts w:ascii="arial" w:hAnsi="arial"/>
                <w:sz w:val="20"/>
              </w:rPr>
            </w:pPr>
            <w:r>
              <w:rPr>
                <w:rFonts w:ascii="arial" w:hAnsi="arial"/>
                <w:sz w:val="20"/>
              </w:rPr>
              <w:t xml:space="preserve">Internal comparisons among the executive’s peers at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Comparisons among the executive’s peers at the peer group companies, generally with a target of median among peers;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185"/>
        <w:gridCol w:w="5930"/>
      </w:tblGrid>
      <w:tr>
        <w:trPr/>
        <w:tc>
          <w:tcPr>
            <w:tcW w:w="185" w:type="dxa"/>
            <w:tcBorders/>
            <w:vAlign w:val="center"/>
          </w:tcPr>
          <w:p>
            <w:pPr>
              <w:pStyle w:val="TableContents"/>
              <w:bidi w:val="0"/>
              <w:spacing w:before="0" w:after="283"/>
              <w:jc w:val="left"/>
              <w:rPr>
                <w:color w:val="004876"/>
              </w:rPr>
            </w:pPr>
            <w:r>
              <w:rPr>
                <w:color w:val="004876"/>
              </w:rPr>
              <w:t>●</w:t>
            </w:r>
          </w:p>
        </w:tc>
        <w:tc>
          <w:tcPr>
            <w:tcW w:w="5930" w:type="dxa"/>
            <w:tcBorders/>
            <w:vAlign w:val="center"/>
          </w:tcPr>
          <w:p>
            <w:pPr>
              <w:pStyle w:val="TableContents"/>
              <w:bidi w:val="0"/>
              <w:spacing w:before="0" w:after="0"/>
              <w:jc w:val="left"/>
              <w:rPr>
                <w:rFonts w:ascii="arial" w:hAnsi="arial"/>
                <w:sz w:val="20"/>
              </w:rPr>
            </w:pPr>
            <w:r>
              <w:rPr>
                <w:rFonts w:ascii="arial" w:hAnsi="arial"/>
                <w:sz w:val="20"/>
              </w:rPr>
              <w:t xml:space="preserve">The recruitment and development of talent in a competitive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Target annual incentive opportunities based on the Company’s annual goals with regard to the executive’s position, as approved by the Committee;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Long-term incentive opportunities driven by the perceived level of contribution expected of the executive toward achieving the Company’s growth objectives.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7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9" descr=""/>
                          <pic:cNvPicPr>
                            <a:picLocks noChangeAspect="1" noChangeArrowheads="1"/>
                          </pic:cNvPicPr>
                        </pic:nvPicPr>
                        <pic:blipFill>
                          <a:blip r:embed="rId70"/>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Each element of compensation is evaluated independently based on the role of that component in achieving the Company’s overall compensation objectives, with an emphasis on long-term incentives and retention. </w:t>
      </w:r>
    </w:p>
    <w:p>
      <w:pPr>
        <w:pStyle w:val="TextBody"/>
        <w:bidi w:val="0"/>
        <w:spacing w:before="240" w:after="0"/>
        <w:jc w:val="left"/>
        <w:rPr>
          <w:rFonts w:ascii="arial" w:hAnsi="arial"/>
          <w:sz w:val="20"/>
        </w:rPr>
      </w:pPr>
      <w:r>
        <w:rPr>
          <w:rFonts w:ascii="arial" w:hAnsi="arial"/>
          <w:sz w:val="20"/>
        </w:rPr>
        <w:t xml:space="preserve">In making executive pay decisions, the Committee considers the advice and experience of FW Cook, its independent advisor, and the CEO to evaluate the reasonableness of executive pay. While the Committee considers input from its independent advisor and the CEO, all of the decisions with respect to the Company’s executive compensation programs are made by the Committee alone and may reflect factors and considerations other than the information and recommendations provided by management or its independent advisor. In addition, the CEO does not make recommendations with respect to his own compensation. The Committee determines pay levels and practices based on the talent needs of the organization as defined by our strategy of growing and diversifying revenues and with the guidance of the Committee’s independent advisor. </w:t>
      </w:r>
    </w:p>
    <w:p>
      <w:pPr>
        <w:pStyle w:val="TextBody"/>
        <w:bidi w:val="0"/>
        <w:spacing w:before="240" w:after="0"/>
        <w:jc w:val="left"/>
        <w:rPr>
          <w:rFonts w:ascii="arial" w:hAnsi="arial"/>
          <w:sz w:val="20"/>
        </w:rPr>
      </w:pPr>
      <w:r>
        <w:rPr>
          <w:rFonts w:ascii="arial" w:hAnsi="arial"/>
          <w:sz w:val="20"/>
        </w:rPr>
        <w:t xml:space="preserve">The Committee believes that it is important for the Company to provide a competitive compensation program and the Committee, with the assistance of the Committee’s independent advisor, conducts periodic reviews of compensation relative to similarly-situated businesses, which can lead to adjustments in compensation and program offerings. The compensation peer group was selected to represent a reasonable match to the Company in terms of size and business characteristics. The group consists of public, similarly sized gaming and entertainment companies, where the median net income and market capitalization approximate the Company’s net income and market capitalization. The Company periodically reviews the peer group and adjusts, as deemed necessary, for continued appropriateness as a market reference for informing executive compensation levels. The Company’s peer group for 2025 was as follows, which did not change as compared to the 2024 peer group: </w:t>
      </w:r>
    </w:p>
    <w:p>
      <w:pPr>
        <w:pStyle w:val="TextBody"/>
        <w:bidi w:val="0"/>
        <w:spacing w:before="0" w:after="0"/>
        <w:jc w:val="left"/>
        <w:rPr/>
      </w:pPr>
      <w:r>
        <w:rPr/>
        <w:t> </w:t>
      </w:r>
    </w:p>
    <w:tbl>
      <w:tblPr>
        <w:tblW w:w="4400" w:type="dxa"/>
        <w:jc w:val="left"/>
        <w:tblInd w:w="0" w:type="dxa"/>
        <w:tblLayout w:type="fixed"/>
        <w:tblCellMar>
          <w:top w:w="0" w:type="dxa"/>
          <w:left w:w="0" w:type="dxa"/>
          <w:bottom w:w="0" w:type="dxa"/>
          <w:right w:w="0" w:type="dxa"/>
        </w:tblCellMar>
      </w:tblPr>
      <w:tblGrid>
        <w:gridCol w:w="75"/>
        <w:gridCol w:w="60"/>
        <w:gridCol w:w="4130"/>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top w:val="single" w:sz="16" w:space="0" w:color="004876"/>
              <w:left w:val="single" w:sz="6" w:space="0" w:color="004876"/>
              <w:bottom w:val="single" w:sz="16" w:space="0" w:color="004876"/>
            </w:tcBorders>
            <w:shd w:fill="004876" w:val="clear"/>
            <w:tcMar>
              <w:top w:w="28" w:type="dxa"/>
              <w:left w:w="28" w:type="dxa"/>
              <w:bottom w:w="28" w:type="dxa"/>
            </w:tcMar>
            <w:vAlign w:val="center"/>
          </w:tcPr>
          <w:p>
            <w:pPr>
              <w:pStyle w:val="TableContents"/>
              <w:bidi w:val="0"/>
              <w:spacing w:before="0" w:after="283"/>
              <w:jc w:val="left"/>
              <w:rPr/>
            </w:pPr>
            <w:r>
              <w:rPr/>
              <w:t> </w:t>
            </w:r>
          </w:p>
        </w:tc>
        <w:tc>
          <w:tcPr>
            <w:tcW w:w="413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lineRule="atLeast" w:line="300" w:before="0" w:after="0"/>
              <w:jc w:val="center"/>
              <w:rPr>
                <w:rFonts w:ascii="arial" w:hAnsi="arial"/>
                <w:b/>
                <w:color w:val="FFFFFF"/>
                <w:sz w:val="20"/>
              </w:rPr>
            </w:pPr>
            <w:r>
              <w:rPr>
                <w:rFonts w:ascii="arial" w:hAnsi="arial"/>
                <w:b/>
                <w:color w:val="FFFFFF"/>
                <w:sz w:val="20"/>
              </w:rPr>
              <w:t>Fiscal 2025 Peer Group</w:t>
            </w:r>
          </w:p>
        </w:tc>
        <w:tc>
          <w:tcPr>
            <w:tcW w:w="60" w:type="dxa"/>
            <w:tcBorders>
              <w:left w:val="single" w:sz="6" w:space="0" w:color="004876"/>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center"/>
              <w:rPr/>
            </w:pPr>
            <w:r>
              <w:rPr/>
              <w:t>Aristocrat Leisure Limited (ALL)</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center"/>
              <w:rPr/>
            </w:pPr>
            <w:r>
              <w:rPr/>
              <w:t>Boyd Gaming Corporation (BYD)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center"/>
              <w:rPr>
                <w:rFonts w:ascii="arial" w:hAnsi="arial"/>
                <w:sz w:val="20"/>
              </w:rPr>
            </w:pPr>
            <w:r>
              <w:rPr>
                <w:rFonts w:ascii="arial" w:hAnsi="arial"/>
                <w:sz w:val="20"/>
              </w:rPr>
              <w:t>Caesars Entertainment, Inc. (CZR)</w:t>
            </w:r>
          </w:p>
          <w:p>
            <w:pPr>
              <w:pStyle w:val="TableContents"/>
              <w:bidi w:val="0"/>
              <w:spacing w:before="0" w:after="20"/>
              <w:jc w:val="center"/>
              <w:rPr>
                <w:rFonts w:ascii="arial" w:hAnsi="arial"/>
                <w:sz w:val="20"/>
              </w:rPr>
            </w:pPr>
            <w:r>
              <w:rPr>
                <w:rFonts w:ascii="arial" w:hAnsi="arial"/>
                <w:sz w:val="20"/>
              </w:rPr>
              <w:t>DraftKings Inc. (DKNG)</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center"/>
              <w:rPr/>
            </w:pPr>
            <w:r>
              <w:rPr/>
              <w:t>Flutter Entertainment PLC (FLTR)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center"/>
              <w:rPr/>
            </w:pPr>
            <w:r>
              <w:rPr/>
              <w:t>Gaming and Leisure Properties Inc. (GLPI)</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center"/>
              <w:rPr/>
            </w:pPr>
            <w:r>
              <w:rPr/>
              <w:t>MGM Resorts International (MGM)</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center"/>
              <w:rPr/>
            </w:pPr>
            <w:r>
              <w:rPr/>
              <w:t>PENN Entertainment, Inc., Inc. (PENN)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center"/>
              <w:rPr/>
            </w:pPr>
            <w:r>
              <w:rPr/>
              <w:t>Red Rock Resorts Inc. (RRR)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center"/>
              <w:rPr/>
            </w:pPr>
            <w:r>
              <w:rPr/>
              <w:t>Light &amp; Wonder, Inc. (LNW)</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center"/>
              <w:rPr/>
            </w:pPr>
            <w:r>
              <w:rPr/>
              <w:t>Wynn Resorts, Limited (WYNN)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color w:val="004876"/>
          <w:sz w:val="20"/>
        </w:rPr>
      </w:pPr>
      <w:bookmarkStart w:id="52" w:name="toc123994_43"/>
      <w:bookmarkStart w:id="53" w:name="txa123994_8"/>
      <w:bookmarkEnd w:id="52"/>
      <w:bookmarkEnd w:id="53"/>
      <w:r>
        <w:rPr>
          <w:rFonts w:ascii="arial" w:hAnsi="arial"/>
          <w:b/>
          <w:color w:val="004876"/>
          <w:sz w:val="20"/>
        </w:rPr>
        <w:t xml:space="preserve">Non-Disclosure of Certain Metrics and Targets </w:t>
      </w:r>
    </w:p>
    <w:p>
      <w:pPr>
        <w:pStyle w:val="TextBody"/>
        <w:bidi w:val="0"/>
        <w:spacing w:before="120" w:after="0"/>
        <w:jc w:val="left"/>
        <w:rPr>
          <w:rFonts w:ascii="arial" w:hAnsi="arial"/>
          <w:sz w:val="20"/>
        </w:rPr>
      </w:pPr>
      <w:r>
        <w:rPr>
          <w:rFonts w:ascii="arial" w:hAnsi="arial"/>
          <w:sz w:val="20"/>
        </w:rPr>
        <w:t xml:space="preserve">The Company believes in transparency and strives to disclose as much information to shareholders as possible except in situations where we believe that providing full, or even limited, disclosure would be detrimental to the interests of the Company and our shareholders. We believe certain disclosures could provide our competitors with insight regarding confidential business strategies without meaningfully adding to our shareholders’ understanding of the metric. Although we set compensation metrics and targets in advance of applicable performance periods, we do not disclose such metrics and targets in advance due to potential risk to the interests of the Company and our shareholders. We disclose such metrics and targets alongside actual performance in our annual filings following the completion of the applicable performance periods.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32</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7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0" descr=""/>
                          <pic:cNvPicPr>
                            <a:picLocks noChangeAspect="1" noChangeArrowheads="1"/>
                          </pic:cNvPicPr>
                        </pic:nvPicPr>
                        <pic:blipFill>
                          <a:blip r:embed="rId71"/>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004876"/>
          <w:sz w:val="20"/>
        </w:rPr>
      </w:pPr>
      <w:bookmarkStart w:id="54" w:name="toc123994_44"/>
      <w:bookmarkStart w:id="55" w:name="txa123994_9"/>
      <w:bookmarkEnd w:id="54"/>
      <w:bookmarkEnd w:id="55"/>
      <w:r>
        <w:rPr>
          <w:rFonts w:ascii="arial" w:hAnsi="arial"/>
          <w:b/>
          <w:color w:val="004876"/>
          <w:sz w:val="20"/>
        </w:rPr>
        <w:t xml:space="preserve">Components of Compensation </w:t>
      </w:r>
    </w:p>
    <w:p>
      <w:pPr>
        <w:pStyle w:val="TextBody"/>
        <w:bidi w:val="0"/>
        <w:spacing w:before="120" w:after="0"/>
        <w:jc w:val="left"/>
        <w:rPr>
          <w:rFonts w:ascii="arial" w:hAnsi="arial"/>
          <w:sz w:val="20"/>
        </w:rPr>
      </w:pPr>
      <w:r>
        <w:rPr>
          <w:rFonts w:ascii="arial" w:hAnsi="arial"/>
          <w:sz w:val="20"/>
        </w:rPr>
        <w:t xml:space="preserve">During 2025, the Company used multiple components to provide an overall compensation and benefits package designed to attract and retain the needed level of executive talent for the Company and to incentivize their performance. The Committee believes that the goals that were set for the executives and executive compensation are aligned with the interests of our investors to support enhancing long-term shareholder value. The following table sets forth the principal compensation elements of the Company’s 2025 executive compensation program and how each element fits into the Company’s overall compensation program and is supportive of the Company’s executive compensation objectives. </w:t>
      </w:r>
    </w:p>
    <w:p>
      <w:pPr>
        <w:pStyle w:val="TextBody"/>
        <w:bidi w:val="0"/>
        <w:spacing w:before="0" w:after="0"/>
        <w:jc w:val="left"/>
        <w:rPr/>
      </w:pPr>
      <w:r>
        <w:rPr/>
        <w:t> </w:t>
      </w:r>
    </w:p>
    <w:tbl>
      <w:tblPr>
        <w:tblW w:w="10095" w:type="dxa"/>
        <w:jc w:val="left"/>
        <w:tblInd w:w="0" w:type="dxa"/>
        <w:tblLayout w:type="fixed"/>
        <w:tblCellMar>
          <w:top w:w="0" w:type="dxa"/>
          <w:left w:w="0" w:type="dxa"/>
          <w:bottom w:w="0" w:type="dxa"/>
          <w:right w:w="0" w:type="dxa"/>
        </w:tblCellMar>
      </w:tblPr>
      <w:tblGrid>
        <w:gridCol w:w="2780"/>
        <w:gridCol w:w="120"/>
        <w:gridCol w:w="1070"/>
        <w:gridCol w:w="120"/>
        <w:gridCol w:w="1235"/>
        <w:gridCol w:w="120"/>
        <w:gridCol w:w="1205"/>
        <w:gridCol w:w="120"/>
        <w:gridCol w:w="2180"/>
        <w:gridCol w:w="120"/>
        <w:gridCol w:w="1025"/>
      </w:tblGrid>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2780"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190"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2680"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2300"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145" w:type="dxa"/>
            <w:gridSpan w:val="2"/>
            <w:tcBorders>
              <w:top w:val="single" w:sz="16" w:space="0" w:color="004876"/>
              <w:right w:val="single" w:sz="6" w:space="0" w:color="004876"/>
            </w:tcBorders>
            <w:shd w:fill="004876" w:val="clear"/>
            <w:tcMar>
              <w:top w:w="28" w:type="dxa"/>
              <w:right w:w="28" w:type="dxa"/>
            </w:tcMar>
            <w:vAlign w:val="center"/>
          </w:tcPr>
          <w:p>
            <w:pPr>
              <w:pStyle w:val="TableContents"/>
              <w:bidi w:val="0"/>
              <w:spacing w:before="0" w:after="283"/>
              <w:jc w:val="left"/>
              <w:rPr/>
            </w:pPr>
            <w:r>
              <w:rPr/>
              <w:t> </w:t>
            </w:r>
          </w:p>
        </w:tc>
      </w:tr>
      <w:tr>
        <w:trPr/>
        <w:tc>
          <w:tcPr>
            <w:tcW w:w="278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07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2560" w:type="dxa"/>
            <w:gridSpan w:val="3"/>
            <w:tcBorders>
              <w:bottom w:val="single" w:sz="16" w:space="0" w:color="004876"/>
            </w:tcBorders>
            <w:shd w:fill="004876" w:val="clear"/>
            <w:tcMar>
              <w:bottom w:w="60" w:type="dxa"/>
            </w:tcMar>
            <w:vAlign w:val="center"/>
          </w:tcPr>
          <w:p>
            <w:pPr>
              <w:pStyle w:val="TableContents"/>
              <w:bidi w:val="0"/>
              <w:spacing w:before="0" w:after="283"/>
              <w:jc w:val="center"/>
              <w:rPr>
                <w:b/>
                <w:color w:val="FFFFFF"/>
              </w:rPr>
            </w:pPr>
            <w:r>
              <w:rPr>
                <w:b/>
                <w:color w:val="FFFFFF"/>
              </w:rPr>
              <w:t>Motivation</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218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025" w:type="dxa"/>
            <w:tcBorders>
              <w:bottom w:val="single" w:sz="16" w:space="0" w:color="004876"/>
              <w:right w:val="single" w:sz="6" w:space="0" w:color="004876"/>
            </w:tcBorders>
            <w:shd w:fill="004876" w:val="clear"/>
            <w:tcMar>
              <w:bottom w:w="28" w:type="dxa"/>
              <w:right w:w="40" w:type="dxa"/>
            </w:tcMar>
            <w:vAlign w:val="center"/>
          </w:tcPr>
          <w:p>
            <w:pPr>
              <w:pStyle w:val="TableContents"/>
              <w:bidi w:val="0"/>
              <w:spacing w:before="0" w:after="283"/>
              <w:jc w:val="left"/>
              <w:rPr/>
            </w:pPr>
            <w:r>
              <w:rPr/>
              <w:t>  </w:t>
            </w:r>
          </w:p>
        </w:tc>
      </w:tr>
      <w:tr>
        <w:trPr/>
        <w:tc>
          <w:tcPr>
            <w:tcW w:w="2780" w:type="dxa"/>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left"/>
              <w:rPr>
                <w:color w:val="FFFFFF"/>
              </w:rPr>
            </w:pPr>
            <w:r>
              <w:rPr>
                <w:color w:val="FFFFFF"/>
              </w:rPr>
              <w:t> </w:t>
            </w:r>
            <w:r>
              <w:rPr>
                <w:b/>
                <w:color w:val="FFFFFF"/>
              </w:rPr>
              <w:t>Element of Compensation</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070" w:type="dxa"/>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center"/>
              <w:rPr>
                <w:b/>
                <w:color w:val="FFFFFF"/>
              </w:rPr>
            </w:pPr>
            <w:r>
              <w:rPr>
                <w:b/>
                <w:color w:val="FFFFFF"/>
              </w:rPr>
              <w:t>Attraction</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35" w:type="dxa"/>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center"/>
              <w:rPr>
                <w:b/>
                <w:color w:val="FFFFFF"/>
              </w:rPr>
            </w:pPr>
            <w:r>
              <w:rPr>
                <w:b/>
                <w:color w:val="FFFFFF"/>
              </w:rPr>
              <w:t>Short-Term</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05" w:type="dxa"/>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center"/>
              <w:rPr>
                <w:b/>
                <w:color w:val="FFFFFF"/>
              </w:rPr>
            </w:pPr>
            <w:r>
              <w:rPr>
                <w:b/>
                <w:color w:val="FFFFFF"/>
              </w:rPr>
              <w:t>Long-Term</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2180" w:type="dxa"/>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center"/>
              <w:rPr>
                <w:b/>
                <w:color w:val="FFFFFF"/>
              </w:rPr>
            </w:pPr>
            <w:r>
              <w:rPr>
                <w:b/>
                <w:color w:val="FFFFFF"/>
              </w:rPr>
              <w:t>Alignment with</w:t>
              <w:br/>
              <w:t>Stockholder Interests</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025" w:type="dxa"/>
            <w:tcBorders>
              <w:top w:val="single" w:sz="16" w:space="0" w:color="004876"/>
              <w:bottom w:val="single" w:sz="16" w:space="0" w:color="004876"/>
              <w:right w:val="single" w:sz="6" w:space="0" w:color="004876"/>
            </w:tcBorders>
            <w:shd w:fill="004876" w:val="clear"/>
            <w:tcMar>
              <w:top w:w="28" w:type="dxa"/>
              <w:bottom w:w="120" w:type="dxa"/>
              <w:right w:w="40" w:type="dxa"/>
            </w:tcMar>
            <w:vAlign w:val="center"/>
          </w:tcPr>
          <w:p>
            <w:pPr>
              <w:pStyle w:val="TableContents"/>
              <w:bidi w:val="0"/>
              <w:spacing w:before="0" w:after="283"/>
              <w:jc w:val="center"/>
              <w:rPr>
                <w:b/>
                <w:color w:val="FFFFFF"/>
              </w:rPr>
            </w:pPr>
            <w:r>
              <w:rPr>
                <w:b/>
                <w:color w:val="FFFFFF"/>
              </w:rPr>
              <w:t>Retention</w:t>
            </w:r>
          </w:p>
        </w:tc>
      </w:tr>
      <w:tr>
        <w:trPr/>
        <w:tc>
          <w:tcPr>
            <w:tcW w:w="2780" w:type="dxa"/>
            <w:tcBorders/>
            <w:shd w:fill="F4F0DC"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r>
      <w:tr>
        <w:trPr/>
        <w:tc>
          <w:tcPr>
            <w:tcW w:w="2780" w:type="dxa"/>
            <w:tcBorders>
              <w:bottom w:val="single" w:sz="6" w:space="0" w:color="B99C16"/>
            </w:tcBorders>
            <w:shd w:fill="F4F0DC" w:val="clear"/>
            <w:tcMar>
              <w:bottom w:w="120" w:type="dxa"/>
            </w:tcMar>
            <w:vAlign w:val="center"/>
          </w:tcPr>
          <w:p>
            <w:pPr>
              <w:pStyle w:val="TableContents"/>
              <w:bidi w:val="0"/>
              <w:spacing w:before="0" w:after="0"/>
              <w:jc w:val="left"/>
              <w:rPr>
                <w:rFonts w:ascii="arial" w:hAnsi="arial"/>
                <w:sz w:val="20"/>
              </w:rPr>
            </w:pPr>
            <w:r>
              <w:rPr>
                <w:rFonts w:ascii="arial" w:hAnsi="arial"/>
                <w:sz w:val="20"/>
              </w:rPr>
              <w:t>Base Salary</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70" w:type="dxa"/>
            <w:tcBorders>
              <w:bottom w:val="single" w:sz="6" w:space="0" w:color="B99C16"/>
            </w:tcBorders>
            <w:tcMar>
              <w:bottom w:w="120" w:type="dxa"/>
            </w:tcMar>
            <w:vAlign w:val="center"/>
          </w:tcPr>
          <w:p>
            <w:pPr>
              <w:pStyle w:val="TableContents"/>
              <w:bidi w:val="0"/>
              <w:spacing w:before="0" w:after="283"/>
              <w:jc w:val="center"/>
              <w:rPr/>
            </w:pPr>
            <w:r>
              <w:rPr/>
              <w:t>✓</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35" w:type="dxa"/>
            <w:tcBorders>
              <w:bottom w:val="single" w:sz="6" w:space="0" w:color="B99C16"/>
            </w:tcBorders>
            <w:tcMar>
              <w:bottom w:w="120" w:type="dxa"/>
            </w:tcMar>
            <w:vAlign w:val="center"/>
          </w:tcPr>
          <w:p>
            <w:pPr>
              <w:pStyle w:val="TableContents"/>
              <w:bidi w:val="0"/>
              <w:spacing w:before="0" w:after="283"/>
              <w:jc w:val="center"/>
              <w:rPr/>
            </w:pPr>
            <w:r>
              <w:rPr/>
              <w:t>✓</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5"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18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25" w:type="dxa"/>
            <w:tcBorders>
              <w:bottom w:val="single" w:sz="6" w:space="0" w:color="B99C16"/>
            </w:tcBorders>
            <w:tcMar>
              <w:bottom w:w="120" w:type="dxa"/>
            </w:tcMar>
            <w:vAlign w:val="center"/>
          </w:tcPr>
          <w:p>
            <w:pPr>
              <w:pStyle w:val="TableContents"/>
              <w:bidi w:val="0"/>
              <w:spacing w:before="0" w:after="283"/>
              <w:jc w:val="center"/>
              <w:rPr/>
            </w:pPr>
            <w:r>
              <w:rPr/>
              <w:t>✓</w:t>
            </w:r>
          </w:p>
        </w:tc>
      </w:tr>
      <w:tr>
        <w:trPr/>
        <w:tc>
          <w:tcPr>
            <w:tcW w:w="2780" w:type="dxa"/>
            <w:tcBorders/>
            <w:shd w:fill="F4F0DC"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r>
      <w:tr>
        <w:trPr/>
        <w:tc>
          <w:tcPr>
            <w:tcW w:w="2780" w:type="dxa"/>
            <w:tcBorders>
              <w:bottom w:val="single" w:sz="6" w:space="0" w:color="B99C16"/>
            </w:tcBorders>
            <w:shd w:fill="F4F0DC" w:val="clear"/>
            <w:tcMar>
              <w:bottom w:w="120" w:type="dxa"/>
            </w:tcMar>
            <w:vAlign w:val="center"/>
          </w:tcPr>
          <w:p>
            <w:pPr>
              <w:pStyle w:val="TableContents"/>
              <w:bidi w:val="0"/>
              <w:spacing w:before="0" w:after="0"/>
              <w:jc w:val="left"/>
              <w:rPr>
                <w:rFonts w:ascii="arial" w:hAnsi="arial"/>
                <w:sz w:val="20"/>
              </w:rPr>
            </w:pPr>
            <w:r>
              <w:rPr>
                <w:rFonts w:ascii="arial" w:hAnsi="arial"/>
                <w:sz w:val="20"/>
              </w:rPr>
              <w:t xml:space="preserve">Annual Incentive </w:t>
              <w:br/>
              <w:t>Compensation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70" w:type="dxa"/>
            <w:tcBorders>
              <w:bottom w:val="single" w:sz="6" w:space="0" w:color="B99C16"/>
            </w:tcBorders>
            <w:tcMar>
              <w:bottom w:w="120" w:type="dxa"/>
            </w:tcMar>
            <w:vAlign w:val="center"/>
          </w:tcPr>
          <w:p>
            <w:pPr>
              <w:pStyle w:val="TableContents"/>
              <w:bidi w:val="0"/>
              <w:spacing w:before="0" w:after="283"/>
              <w:jc w:val="center"/>
              <w:rPr/>
            </w:pPr>
            <w:r>
              <w:rPr/>
              <w:t>✓</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35" w:type="dxa"/>
            <w:tcBorders>
              <w:bottom w:val="single" w:sz="6" w:space="0" w:color="B99C16"/>
            </w:tcBorders>
            <w:tcMar>
              <w:bottom w:w="120" w:type="dxa"/>
            </w:tcMar>
            <w:vAlign w:val="center"/>
          </w:tcPr>
          <w:p>
            <w:pPr>
              <w:pStyle w:val="TableContents"/>
              <w:bidi w:val="0"/>
              <w:spacing w:before="0" w:after="283"/>
              <w:jc w:val="center"/>
              <w:rPr/>
            </w:pPr>
            <w:r>
              <w:rPr/>
              <w:t>✓</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5"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180" w:type="dxa"/>
            <w:tcBorders>
              <w:bottom w:val="single" w:sz="6" w:space="0" w:color="B99C16"/>
            </w:tcBorders>
            <w:tcMar>
              <w:bottom w:w="120" w:type="dxa"/>
            </w:tcMar>
            <w:vAlign w:val="center"/>
          </w:tcPr>
          <w:p>
            <w:pPr>
              <w:pStyle w:val="TableContents"/>
              <w:bidi w:val="0"/>
              <w:spacing w:before="0" w:after="283"/>
              <w:jc w:val="center"/>
              <w:rPr/>
            </w:pPr>
            <w:r>
              <w:rPr/>
              <w:t>✓</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25" w:type="dxa"/>
            <w:tcBorders>
              <w:bottom w:val="single" w:sz="6" w:space="0" w:color="B99C16"/>
            </w:tcBorders>
            <w:tcMar>
              <w:bottom w:w="120" w:type="dxa"/>
            </w:tcMar>
            <w:vAlign w:val="center"/>
          </w:tcPr>
          <w:p>
            <w:pPr>
              <w:pStyle w:val="TableContents"/>
              <w:bidi w:val="0"/>
              <w:spacing w:before="0" w:after="283"/>
              <w:jc w:val="center"/>
              <w:rPr/>
            </w:pPr>
            <w:r>
              <w:rPr/>
              <w:t>✓</w:t>
            </w:r>
          </w:p>
        </w:tc>
      </w:tr>
      <w:tr>
        <w:trPr/>
        <w:tc>
          <w:tcPr>
            <w:tcW w:w="2780" w:type="dxa"/>
            <w:tcBorders/>
            <w:shd w:fill="F4F0DC"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r>
      <w:tr>
        <w:trPr/>
        <w:tc>
          <w:tcPr>
            <w:tcW w:w="2780" w:type="dxa"/>
            <w:tcBorders>
              <w:bottom w:val="single" w:sz="6" w:space="0" w:color="B99C16"/>
            </w:tcBorders>
            <w:shd w:fill="F4F0DC" w:val="clear"/>
            <w:tcMar>
              <w:bottom w:w="120" w:type="dxa"/>
            </w:tcMar>
            <w:vAlign w:val="center"/>
          </w:tcPr>
          <w:p>
            <w:pPr>
              <w:pStyle w:val="TableContents"/>
              <w:bidi w:val="0"/>
              <w:spacing w:before="0" w:after="0"/>
              <w:jc w:val="left"/>
              <w:rPr>
                <w:rFonts w:ascii="arial" w:hAnsi="arial"/>
                <w:sz w:val="20"/>
              </w:rPr>
            </w:pPr>
            <w:r>
              <w:rPr>
                <w:rFonts w:ascii="arial" w:hAnsi="arial"/>
                <w:sz w:val="20"/>
              </w:rPr>
              <w:t xml:space="preserve">Long-Term Incentive </w:t>
              <w:br/>
              <w:t>Compensation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70" w:type="dxa"/>
            <w:tcBorders>
              <w:bottom w:val="single" w:sz="6" w:space="0" w:color="B99C16"/>
            </w:tcBorders>
            <w:tcMar>
              <w:bottom w:w="120" w:type="dxa"/>
            </w:tcMar>
            <w:vAlign w:val="center"/>
          </w:tcPr>
          <w:p>
            <w:pPr>
              <w:pStyle w:val="TableContents"/>
              <w:bidi w:val="0"/>
              <w:spacing w:before="0" w:after="283"/>
              <w:jc w:val="center"/>
              <w:rPr/>
            </w:pPr>
            <w:r>
              <w:rPr/>
              <w:t>✓</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35"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5" w:type="dxa"/>
            <w:tcBorders>
              <w:bottom w:val="single" w:sz="6" w:space="0" w:color="B99C16"/>
            </w:tcBorders>
            <w:tcMar>
              <w:bottom w:w="120" w:type="dxa"/>
            </w:tcMar>
            <w:vAlign w:val="center"/>
          </w:tcPr>
          <w:p>
            <w:pPr>
              <w:pStyle w:val="TableContents"/>
              <w:bidi w:val="0"/>
              <w:spacing w:before="0" w:after="283"/>
              <w:jc w:val="center"/>
              <w:rPr/>
            </w:pPr>
            <w:r>
              <w:rPr/>
              <w:t>✓</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180" w:type="dxa"/>
            <w:tcBorders>
              <w:bottom w:val="single" w:sz="6" w:space="0" w:color="B99C16"/>
            </w:tcBorders>
            <w:tcMar>
              <w:bottom w:w="120" w:type="dxa"/>
            </w:tcMar>
            <w:vAlign w:val="center"/>
          </w:tcPr>
          <w:p>
            <w:pPr>
              <w:pStyle w:val="TableContents"/>
              <w:bidi w:val="0"/>
              <w:spacing w:before="0" w:after="283"/>
              <w:jc w:val="center"/>
              <w:rPr/>
            </w:pPr>
            <w:r>
              <w:rPr/>
              <w:t>✓</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25" w:type="dxa"/>
            <w:tcBorders>
              <w:bottom w:val="single" w:sz="6" w:space="0" w:color="B99C16"/>
            </w:tcBorders>
            <w:tcMar>
              <w:bottom w:w="120" w:type="dxa"/>
            </w:tcMar>
            <w:vAlign w:val="center"/>
          </w:tcPr>
          <w:p>
            <w:pPr>
              <w:pStyle w:val="TableContents"/>
              <w:bidi w:val="0"/>
              <w:spacing w:before="0" w:after="283"/>
              <w:jc w:val="center"/>
              <w:rPr/>
            </w:pPr>
            <w:r>
              <w:rPr/>
              <w:t>✓</w:t>
            </w:r>
          </w:p>
        </w:tc>
      </w:tr>
    </w:tbl>
    <w:p>
      <w:pPr>
        <w:pStyle w:val="TextBody"/>
        <w:bidi w:val="0"/>
        <w:spacing w:before="360" w:after="0"/>
        <w:jc w:val="left"/>
        <w:rPr>
          <w:rFonts w:ascii="arial" w:hAnsi="arial"/>
          <w:b/>
          <w:color w:val="004876"/>
          <w:sz w:val="20"/>
        </w:rPr>
      </w:pPr>
      <w:bookmarkStart w:id="56" w:name="toc123994_45"/>
      <w:bookmarkStart w:id="57" w:name="txa123994_10"/>
      <w:bookmarkEnd w:id="56"/>
      <w:bookmarkEnd w:id="57"/>
      <w:r>
        <w:rPr>
          <w:rFonts w:ascii="arial" w:hAnsi="arial"/>
          <w:b/>
          <w:color w:val="004876"/>
          <w:sz w:val="20"/>
        </w:rPr>
        <w:t xml:space="preserve">Base Salary </w:t>
      </w:r>
    </w:p>
    <w:p>
      <w:pPr>
        <w:pStyle w:val="TextBody"/>
        <w:bidi w:val="0"/>
        <w:spacing w:before="120" w:after="0"/>
        <w:jc w:val="left"/>
        <w:rPr>
          <w:rFonts w:ascii="arial" w:hAnsi="arial"/>
          <w:sz w:val="20"/>
        </w:rPr>
      </w:pPr>
      <w:r>
        <w:rPr>
          <w:rFonts w:ascii="arial" w:hAnsi="arial"/>
          <w:sz w:val="20"/>
        </w:rPr>
        <w:t xml:space="preserve">The Committee’s philosophy is that base salaries should meet the objectives of attracting and retaining the executive talent needed to grow the business and create shareholder value. Upon promotion or other adjustment of responsibilities, executives receive base pay increases that are intended to be commensurate with their new role or responsibilities, the pay levels for colleagues at similar levels in the organization and market pay practices, with increases thereafter based on an assessment of performance and the competitive market. </w:t>
      </w:r>
    </w:p>
    <w:p>
      <w:pPr>
        <w:pStyle w:val="TextBody"/>
        <w:bidi w:val="0"/>
        <w:spacing w:before="240" w:after="0"/>
        <w:jc w:val="left"/>
        <w:rPr>
          <w:rFonts w:ascii="arial" w:hAnsi="arial"/>
          <w:sz w:val="20"/>
        </w:rPr>
      </w:pPr>
      <w:r>
        <w:rPr>
          <w:rFonts w:ascii="arial" w:hAnsi="arial"/>
          <w:sz w:val="20"/>
        </w:rPr>
        <w:t xml:space="preserve">Peer group market analyses were performed for each of the NEO positions, generally targeting the median compensation levels among our peer group. </w:t>
      </w:r>
    </w:p>
    <w:p>
      <w:pPr>
        <w:pStyle w:val="TextBody"/>
        <w:bidi w:val="0"/>
        <w:spacing w:before="240" w:after="0"/>
        <w:jc w:val="left"/>
        <w:rPr>
          <w:rFonts w:ascii="arial" w:hAnsi="arial"/>
          <w:sz w:val="20"/>
        </w:rPr>
      </w:pPr>
      <w:r>
        <w:rPr>
          <w:rFonts w:ascii="arial" w:hAnsi="arial"/>
          <w:sz w:val="20"/>
        </w:rPr>
        <w:t xml:space="preserve">Based on the above considerations, the Committee set the following base salaries for the NEOs for 2025: </w:t>
      </w:r>
    </w:p>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1910"/>
        <w:gridCol w:w="60"/>
        <w:gridCol w:w="2465"/>
        <w:gridCol w:w="120"/>
        <w:gridCol w:w="60"/>
        <w:gridCol w:w="980"/>
        <w:gridCol w:w="60"/>
        <w:gridCol w:w="120"/>
        <w:gridCol w:w="60"/>
        <w:gridCol w:w="980"/>
        <w:gridCol w:w="60"/>
        <w:gridCol w:w="120"/>
        <w:gridCol w:w="1130"/>
      </w:tblGrid>
      <w:tr>
        <w:trPr/>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1910"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2525"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220"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220"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250"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r>
      <w:tr>
        <w:trPr/>
        <w:tc>
          <w:tcPr>
            <w:tcW w:w="1910" w:type="dxa"/>
            <w:tcBorders>
              <w:bottom w:val="single" w:sz="16" w:space="0" w:color="004876"/>
            </w:tcBorders>
            <w:shd w:fill="004876" w:val="clear"/>
            <w:tcMar>
              <w:bottom w:w="120" w:type="dxa"/>
            </w:tcM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2465" w:type="dxa"/>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Position</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040" w:type="dxa"/>
            <w:gridSpan w:val="2"/>
            <w:tcBorders>
              <w:bottom w:val="single" w:sz="1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2024 Base</w:t>
            </w:r>
          </w:p>
          <w:p>
            <w:pPr>
              <w:pStyle w:val="TableContents"/>
              <w:bidi w:val="0"/>
              <w:spacing w:before="0" w:after="20"/>
              <w:jc w:val="center"/>
              <w:rPr>
                <w:rFonts w:ascii="arial" w:hAnsi="arial"/>
                <w:b/>
                <w:color w:val="FFFFFF"/>
                <w:sz w:val="16"/>
              </w:rPr>
            </w:pPr>
            <w:r>
              <w:rPr>
                <w:rFonts w:ascii="arial" w:hAnsi="arial"/>
                <w:b/>
                <w:color w:val="FFFFFF"/>
                <w:sz w:val="16"/>
              </w:rPr>
              <w:t>Salary ($)(1)</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040" w:type="dxa"/>
            <w:gridSpan w:val="2"/>
            <w:tcBorders>
              <w:bottom w:val="single" w:sz="1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2025 Base</w:t>
            </w:r>
          </w:p>
          <w:p>
            <w:pPr>
              <w:pStyle w:val="TableContents"/>
              <w:bidi w:val="0"/>
              <w:spacing w:before="0" w:after="20"/>
              <w:jc w:val="center"/>
              <w:rPr>
                <w:rFonts w:ascii="arial" w:hAnsi="arial"/>
                <w:b/>
                <w:color w:val="FFFFFF"/>
                <w:sz w:val="16"/>
              </w:rPr>
            </w:pPr>
            <w:r>
              <w:rPr>
                <w:rFonts w:ascii="arial" w:hAnsi="arial"/>
                <w:b/>
                <w:color w:val="FFFFFF"/>
                <w:sz w:val="16"/>
              </w:rPr>
              <w:t>Salary ($)(2)</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130" w:type="dxa"/>
            <w:tcBorders>
              <w:bottom w:val="single" w:sz="16" w:space="0" w:color="004876"/>
            </w:tcBorders>
            <w:shd w:fill="004876" w:val="clear"/>
            <w:tcMar>
              <w:bottom w:w="120" w:type="dxa"/>
            </w:tcMar>
            <w:vAlign w:val="center"/>
          </w:tcPr>
          <w:p>
            <w:pPr>
              <w:pStyle w:val="TableContents"/>
              <w:bidi w:val="0"/>
              <w:spacing w:before="0" w:after="283"/>
              <w:jc w:val="center"/>
              <w:rPr>
                <w:color w:val="FFFFFF"/>
              </w:rPr>
            </w:pPr>
            <w:r>
              <w:rPr>
                <w:color w:val="FFFFFF"/>
              </w:rPr>
              <w:t> </w:t>
            </w:r>
            <w:r>
              <w:rPr>
                <w:b/>
                <w:color w:val="FFFFFF"/>
              </w:rPr>
              <w:t>Percent </w:t>
              <w:br/>
              <w:t> Increase 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2"/>
            <w:tcBorders/>
            <w:shd w:fill="F4F0DC"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before="0" w:after="0"/>
              <w:jc w:val="left"/>
              <w:rPr>
                <w:rFonts w:ascii="arial" w:hAnsi="arial"/>
                <w:sz w:val="20"/>
              </w:rPr>
            </w:pPr>
            <w:r>
              <w:rPr>
                <w:rFonts w:ascii="arial" w:hAnsi="arial"/>
                <w:sz w:val="20"/>
              </w:rPr>
              <w:t>William C. Carstanjen</w:t>
            </w:r>
          </w:p>
        </w:tc>
        <w:tc>
          <w:tcPr>
            <w:tcW w:w="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2465" w:type="dxa"/>
            <w:tcBorders>
              <w:bottom w:val="single" w:sz="6" w:space="0" w:color="B99C16"/>
            </w:tcBorders>
            <w:shd w:fill="F4F0DC" w:val="clear"/>
            <w:tcMar>
              <w:bottom w:w="120" w:type="dxa"/>
            </w:tcMar>
            <w:vAlign w:val="center"/>
          </w:tcPr>
          <w:p>
            <w:pPr>
              <w:pStyle w:val="TableContents"/>
              <w:bidi w:val="0"/>
              <w:spacing w:before="0" w:after="283"/>
              <w:jc w:val="left"/>
              <w:rPr/>
            </w:pPr>
            <w:r>
              <w:rPr/>
              <w:t>Chief Executive Officer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980" w:type="dxa"/>
            <w:tcBorders>
              <w:bottom w:val="single" w:sz="6" w:space="0" w:color="B99C16"/>
            </w:tcBorders>
            <w:tcMar>
              <w:bottom w:w="120" w:type="dxa"/>
            </w:tcMar>
            <w:vAlign w:val="center"/>
          </w:tcPr>
          <w:p>
            <w:pPr>
              <w:pStyle w:val="TableContents"/>
              <w:bidi w:val="0"/>
              <w:spacing w:before="0" w:after="283"/>
              <w:jc w:val="right"/>
              <w:rPr/>
            </w:pPr>
            <w:r>
              <w:rPr/>
              <w:t>1,800,000</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980" w:type="dxa"/>
            <w:tcBorders>
              <w:bottom w:val="single" w:sz="6" w:space="0" w:color="B99C16"/>
            </w:tcBorders>
            <w:tcMar>
              <w:bottom w:w="120" w:type="dxa"/>
            </w:tcMar>
            <w:vAlign w:val="center"/>
          </w:tcPr>
          <w:p>
            <w:pPr>
              <w:pStyle w:val="TableContents"/>
              <w:bidi w:val="0"/>
              <w:spacing w:before="0" w:after="283"/>
              <w:jc w:val="right"/>
              <w:rPr/>
            </w:pPr>
            <w:r>
              <w:rPr/>
              <w:t>1,800,000</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120" w:type="dxa"/>
            </w:tcMar>
            <w:vAlign w:val="center"/>
          </w:tcPr>
          <w:p>
            <w:pPr>
              <w:pStyle w:val="TableContents"/>
              <w:bidi w:val="0"/>
              <w:spacing w:before="0" w:after="283"/>
              <w:jc w:val="center"/>
              <w:rPr/>
            </w:pPr>
            <w:r>
              <w:rPr/>
              <w:t>0%</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2"/>
            <w:tcBorders/>
            <w:shd w:fill="F4F0DC"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before="0" w:after="0"/>
              <w:jc w:val="left"/>
              <w:rPr>
                <w:rFonts w:ascii="arial" w:hAnsi="arial"/>
                <w:sz w:val="20"/>
              </w:rPr>
            </w:pPr>
            <w:r>
              <w:rPr>
                <w:rFonts w:ascii="arial" w:hAnsi="arial"/>
                <w:sz w:val="20"/>
              </w:rPr>
              <w:t>William E. Mudd</w:t>
            </w:r>
          </w:p>
        </w:tc>
        <w:tc>
          <w:tcPr>
            <w:tcW w:w="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2465" w:type="dxa"/>
            <w:tcBorders>
              <w:bottom w:val="single" w:sz="6" w:space="0" w:color="B99C16"/>
            </w:tcBorders>
            <w:shd w:fill="F4F0DC" w:val="clear"/>
            <w:tcMar>
              <w:bottom w:w="120" w:type="dxa"/>
            </w:tcMar>
            <w:vAlign w:val="center"/>
          </w:tcPr>
          <w:p>
            <w:pPr>
              <w:pStyle w:val="TableContents"/>
              <w:bidi w:val="0"/>
              <w:spacing w:before="0" w:after="283"/>
              <w:jc w:val="left"/>
              <w:rPr/>
            </w:pPr>
            <w:r>
              <w:rPr/>
              <w:t>President &amp; COO</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980" w:type="dxa"/>
            <w:tcBorders>
              <w:bottom w:val="single" w:sz="6" w:space="0" w:color="B99C16"/>
            </w:tcBorders>
            <w:tcMar>
              <w:bottom w:w="120" w:type="dxa"/>
            </w:tcMar>
            <w:vAlign w:val="center"/>
          </w:tcPr>
          <w:p>
            <w:pPr>
              <w:pStyle w:val="TableContents"/>
              <w:bidi w:val="0"/>
              <w:spacing w:before="0" w:after="283"/>
              <w:jc w:val="right"/>
              <w:rPr/>
            </w:pPr>
            <w:r>
              <w:rPr/>
              <w:t>1,236,000</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980" w:type="dxa"/>
            <w:tcBorders>
              <w:bottom w:val="single" w:sz="6" w:space="0" w:color="B99C16"/>
            </w:tcBorders>
            <w:tcMar>
              <w:bottom w:w="120" w:type="dxa"/>
            </w:tcMar>
            <w:vAlign w:val="center"/>
          </w:tcPr>
          <w:p>
            <w:pPr>
              <w:pStyle w:val="TableContents"/>
              <w:bidi w:val="0"/>
              <w:spacing w:before="0" w:after="283"/>
              <w:jc w:val="right"/>
              <w:rPr/>
            </w:pPr>
            <w:r>
              <w:rPr/>
              <w:t>1,273,080</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120" w:type="dxa"/>
            </w:tcMar>
            <w:vAlign w:val="center"/>
          </w:tcPr>
          <w:p>
            <w:pPr>
              <w:pStyle w:val="TableContents"/>
              <w:bidi w:val="0"/>
              <w:spacing w:before="0" w:after="283"/>
              <w:jc w:val="center"/>
              <w:rPr/>
            </w:pPr>
            <w:r>
              <w:rPr/>
              <w:t>3%</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2"/>
            <w:tcBorders/>
            <w:shd w:fill="F4F0DC"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before="0" w:after="0"/>
              <w:jc w:val="left"/>
              <w:rPr>
                <w:rFonts w:ascii="arial" w:hAnsi="arial"/>
                <w:sz w:val="20"/>
              </w:rPr>
            </w:pPr>
            <w:r>
              <w:rPr>
                <w:rFonts w:ascii="arial" w:hAnsi="arial"/>
                <w:sz w:val="20"/>
              </w:rPr>
              <w:t>Marcia A. Dall</w:t>
            </w:r>
          </w:p>
        </w:tc>
        <w:tc>
          <w:tcPr>
            <w:tcW w:w="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2465" w:type="dxa"/>
            <w:tcBorders>
              <w:bottom w:val="single" w:sz="6" w:space="0" w:color="B99C16"/>
            </w:tcBorders>
            <w:shd w:fill="F4F0DC" w:val="clear"/>
            <w:tcMar>
              <w:bottom w:w="120" w:type="dxa"/>
            </w:tcMar>
            <w:vAlign w:val="center"/>
          </w:tcPr>
          <w:p>
            <w:pPr>
              <w:pStyle w:val="TableContents"/>
              <w:bidi w:val="0"/>
              <w:spacing w:before="0" w:after="283"/>
              <w:jc w:val="left"/>
              <w:rPr/>
            </w:pPr>
            <w:r>
              <w:rPr/>
              <w:t>EVP &amp; CFO</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980" w:type="dxa"/>
            <w:tcBorders>
              <w:bottom w:val="single" w:sz="6" w:space="0" w:color="B99C16"/>
            </w:tcBorders>
            <w:tcMar>
              <w:bottom w:w="120" w:type="dxa"/>
            </w:tcMar>
            <w:vAlign w:val="center"/>
          </w:tcPr>
          <w:p>
            <w:pPr>
              <w:pStyle w:val="TableContents"/>
              <w:bidi w:val="0"/>
              <w:spacing w:before="0" w:after="283"/>
              <w:jc w:val="right"/>
              <w:rPr/>
            </w:pPr>
            <w:r>
              <w:rPr/>
              <w:t>919,275</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980" w:type="dxa"/>
            <w:tcBorders>
              <w:bottom w:val="single" w:sz="6" w:space="0" w:color="B99C16"/>
            </w:tcBorders>
            <w:tcMar>
              <w:bottom w:w="120" w:type="dxa"/>
            </w:tcMar>
            <w:vAlign w:val="center"/>
          </w:tcPr>
          <w:p>
            <w:pPr>
              <w:pStyle w:val="TableContents"/>
              <w:bidi w:val="0"/>
              <w:spacing w:before="0" w:after="283"/>
              <w:jc w:val="right"/>
              <w:rPr/>
            </w:pPr>
            <w:r>
              <w:rPr/>
              <w:t>950,000</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120" w:type="dxa"/>
            </w:tcMar>
            <w:vAlign w:val="center"/>
          </w:tcPr>
          <w:p>
            <w:pPr>
              <w:pStyle w:val="TableContents"/>
              <w:bidi w:val="0"/>
              <w:spacing w:before="0" w:after="283"/>
              <w:jc w:val="center"/>
              <w:rPr/>
            </w:pPr>
            <w:r>
              <w:rPr/>
              <w:t>3%</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2"/>
            <w:tcBorders/>
            <w:shd w:fill="F4F0DC"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before="0" w:after="0"/>
              <w:jc w:val="left"/>
              <w:rPr>
                <w:rFonts w:ascii="arial" w:hAnsi="arial"/>
                <w:sz w:val="20"/>
              </w:rPr>
            </w:pPr>
            <w:r>
              <w:rPr>
                <w:rFonts w:ascii="arial" w:hAnsi="arial"/>
                <w:sz w:val="20"/>
              </w:rPr>
              <w:t>Bradley K. Blackwell</w:t>
            </w:r>
          </w:p>
        </w:tc>
        <w:tc>
          <w:tcPr>
            <w:tcW w:w="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2465" w:type="dxa"/>
            <w:tcBorders>
              <w:bottom w:val="single" w:sz="6" w:space="0" w:color="B99C16"/>
            </w:tcBorders>
            <w:shd w:fill="F4F0DC" w:val="clear"/>
            <w:tcMar>
              <w:bottom w:w="120" w:type="dxa"/>
            </w:tcMar>
            <w:vAlign w:val="center"/>
          </w:tcPr>
          <w:p>
            <w:pPr>
              <w:pStyle w:val="TableContents"/>
              <w:bidi w:val="0"/>
              <w:spacing w:before="0" w:after="283"/>
              <w:jc w:val="left"/>
              <w:rPr/>
            </w:pPr>
            <w:r>
              <w:rPr/>
              <w:t>EVP &amp; General Counsel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980" w:type="dxa"/>
            <w:tcBorders>
              <w:bottom w:val="single" w:sz="6" w:space="0" w:color="B99C16"/>
            </w:tcBorders>
            <w:tcMar>
              <w:bottom w:w="120" w:type="dxa"/>
            </w:tcMar>
            <w:vAlign w:val="center"/>
          </w:tcPr>
          <w:p>
            <w:pPr>
              <w:pStyle w:val="TableContents"/>
              <w:bidi w:val="0"/>
              <w:spacing w:before="0" w:after="283"/>
              <w:jc w:val="right"/>
              <w:rPr/>
            </w:pPr>
            <w:r>
              <w:rPr/>
              <w:t>750,000</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980" w:type="dxa"/>
            <w:tcBorders>
              <w:bottom w:val="single" w:sz="6" w:space="0" w:color="B99C16"/>
            </w:tcBorders>
            <w:tcMar>
              <w:bottom w:w="120" w:type="dxa"/>
            </w:tcMar>
            <w:vAlign w:val="center"/>
          </w:tcPr>
          <w:p>
            <w:pPr>
              <w:pStyle w:val="TableContents"/>
              <w:bidi w:val="0"/>
              <w:spacing w:before="0" w:after="283"/>
              <w:jc w:val="right"/>
              <w:rPr/>
            </w:pPr>
            <w:r>
              <w:rPr/>
              <w:t>775,000</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120" w:type="dxa"/>
            </w:tcMar>
            <w:vAlign w:val="center"/>
          </w:tcPr>
          <w:p>
            <w:pPr>
              <w:pStyle w:val="TableContents"/>
              <w:bidi w:val="0"/>
              <w:spacing w:before="0" w:after="283"/>
              <w:jc w:val="center"/>
              <w:rPr/>
            </w:pPr>
            <w:r>
              <w:rPr/>
              <w:t>3%</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525" w:type="dxa"/>
            <w:gridSpan w:val="2"/>
            <w:tcBorders/>
            <w:shd w:fill="F4F0DC" w:val="clear"/>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before="0" w:after="0"/>
              <w:jc w:val="left"/>
              <w:rPr>
                <w:rFonts w:ascii="arial" w:hAnsi="arial"/>
                <w:sz w:val="20"/>
              </w:rPr>
            </w:pPr>
            <w:r>
              <w:rPr>
                <w:rFonts w:ascii="arial" w:hAnsi="arial"/>
                <w:sz w:val="20"/>
              </w:rPr>
              <w:t>Maureen Adams</w:t>
            </w:r>
          </w:p>
        </w:tc>
        <w:tc>
          <w:tcPr>
            <w:tcW w:w="60" w:type="dxa"/>
            <w:tcBorders>
              <w:bottom w:val="single" w:sz="6" w:space="0" w:color="B99C16"/>
            </w:tcBorders>
            <w:shd w:fill="F4F0DC" w:val="clear"/>
            <w:tcMar>
              <w:bottom w:w="28" w:type="dxa"/>
            </w:tcMar>
            <w:vAlign w:val="center"/>
          </w:tcPr>
          <w:p>
            <w:pPr>
              <w:pStyle w:val="TableContents"/>
              <w:bidi w:val="0"/>
              <w:spacing w:before="0" w:after="283"/>
              <w:jc w:val="left"/>
              <w:rPr/>
            </w:pPr>
            <w:r>
              <w:rPr/>
              <w:t> </w:t>
            </w:r>
          </w:p>
        </w:tc>
        <w:tc>
          <w:tcPr>
            <w:tcW w:w="2465" w:type="dxa"/>
            <w:tcBorders>
              <w:bottom w:val="single" w:sz="6" w:space="0" w:color="B99C16"/>
            </w:tcBorders>
            <w:shd w:fill="F4F0DC" w:val="clear"/>
            <w:tcMar>
              <w:bottom w:w="120" w:type="dxa"/>
            </w:tcMar>
            <w:vAlign w:val="center"/>
          </w:tcPr>
          <w:p>
            <w:pPr>
              <w:pStyle w:val="TableContents"/>
              <w:bidi w:val="0"/>
              <w:spacing w:before="0" w:after="283"/>
              <w:jc w:val="left"/>
              <w:rPr/>
            </w:pPr>
            <w:r>
              <w:rPr/>
              <w:t>EVP, Gaming Operations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980" w:type="dxa"/>
            <w:tcBorders>
              <w:bottom w:val="single" w:sz="6" w:space="0" w:color="B99C16"/>
            </w:tcBorders>
            <w:tcMar>
              <w:bottom w:w="120" w:type="dxa"/>
            </w:tcMar>
            <w:vAlign w:val="center"/>
          </w:tcPr>
          <w:p>
            <w:pPr>
              <w:pStyle w:val="TableContents"/>
              <w:bidi w:val="0"/>
              <w:spacing w:before="0" w:after="283"/>
              <w:jc w:val="right"/>
              <w:rPr/>
            </w:pPr>
            <w:r>
              <w:rPr/>
              <w:t>643,750</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980" w:type="dxa"/>
            <w:tcBorders>
              <w:bottom w:val="single" w:sz="6" w:space="0" w:color="B99C16"/>
            </w:tcBorders>
            <w:tcMar>
              <w:bottom w:w="120" w:type="dxa"/>
            </w:tcMar>
            <w:vAlign w:val="center"/>
          </w:tcPr>
          <w:p>
            <w:pPr>
              <w:pStyle w:val="TableContents"/>
              <w:bidi w:val="0"/>
              <w:spacing w:before="0" w:after="283"/>
              <w:jc w:val="right"/>
              <w:rPr/>
            </w:pPr>
            <w:r>
              <w:rPr/>
              <w:t>663,062</w:t>
            </w:r>
          </w:p>
        </w:tc>
        <w:tc>
          <w:tcPr>
            <w:tcW w:w="60" w:type="dxa"/>
            <w:tcBorders>
              <w:bottom w:val="single" w:sz="6" w:space="0" w:color="B99C16"/>
            </w:tcBorders>
            <w:tcMar>
              <w:bottom w:w="12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120" w:type="dxa"/>
            </w:tcMar>
            <w:vAlign w:val="center"/>
          </w:tcPr>
          <w:p>
            <w:pPr>
              <w:pStyle w:val="TableContents"/>
              <w:bidi w:val="0"/>
              <w:spacing w:before="0" w:after="283"/>
              <w:jc w:val="center"/>
              <w:rPr/>
            </w:pPr>
            <w:r>
              <w:rPr/>
              <w:t>3%</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305"/>
        <w:gridCol w:w="5600"/>
      </w:tblGrid>
      <w:tr>
        <w:trPr/>
        <w:tc>
          <w:tcPr>
            <w:tcW w:w="305" w:type="dxa"/>
            <w:tcBorders/>
            <w:vAlign w:val="center"/>
          </w:tcPr>
          <w:p>
            <w:pPr>
              <w:pStyle w:val="TableContents"/>
              <w:bidi w:val="0"/>
              <w:spacing w:before="0" w:after="283"/>
              <w:jc w:val="left"/>
              <w:rPr/>
            </w:pPr>
            <w:r>
              <w:rPr/>
              <w:t>(1)</w:t>
            </w:r>
          </w:p>
        </w:tc>
        <w:tc>
          <w:tcPr>
            <w:tcW w:w="5600" w:type="dxa"/>
            <w:tcBorders/>
            <w:vAlign w:val="center"/>
          </w:tcPr>
          <w:p>
            <w:pPr>
              <w:pStyle w:val="TableContents"/>
              <w:bidi w:val="0"/>
              <w:spacing w:before="0" w:after="0"/>
              <w:jc w:val="left"/>
              <w:rPr>
                <w:rFonts w:ascii="arial" w:hAnsi="arial"/>
                <w:sz w:val="18"/>
              </w:rPr>
            </w:pPr>
            <w:r>
              <w:rPr>
                <w:rFonts w:ascii="arial" w:hAnsi="arial"/>
                <w:sz w:val="18"/>
              </w:rPr>
              <w:t xml:space="preserve">Annual rate of base compensation shown as of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arial" w:hAnsi="arial"/>
                <w:sz w:val="18"/>
              </w:rPr>
            </w:pPr>
            <w:r>
              <w:rPr>
                <w:rFonts w:ascii="arial" w:hAnsi="arial"/>
                <w:sz w:val="18"/>
              </w:rPr>
              <w:t xml:space="preserve">Annual rate of base compensation shown as of December 31, 2025. Actual salaries paid in 2025 are shown in the 2025 Summary Compensation Table on page 42.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7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1" descr=""/>
                          <pic:cNvPicPr>
                            <a:picLocks noChangeAspect="1" noChangeArrowheads="1"/>
                          </pic:cNvPicPr>
                        </pic:nvPicPr>
                        <pic:blipFill>
                          <a:blip r:embed="rId72"/>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004876"/>
          <w:sz w:val="20"/>
        </w:rPr>
      </w:pPr>
      <w:bookmarkStart w:id="58" w:name="toc123994_46"/>
      <w:bookmarkStart w:id="59" w:name="txa123994_11"/>
      <w:bookmarkEnd w:id="58"/>
      <w:bookmarkEnd w:id="59"/>
      <w:r>
        <w:rPr>
          <w:rFonts w:ascii="arial" w:hAnsi="arial"/>
          <w:b/>
          <w:color w:val="004876"/>
          <w:sz w:val="20"/>
        </w:rPr>
        <w:t xml:space="preserve">Executive Annual Incentive Plan </w:t>
      </w:r>
    </w:p>
    <w:p>
      <w:pPr>
        <w:pStyle w:val="TextBody"/>
        <w:bidi w:val="0"/>
        <w:spacing w:before="120" w:after="0"/>
        <w:jc w:val="left"/>
        <w:rPr>
          <w:rFonts w:ascii="arial" w:hAnsi="arial"/>
          <w:sz w:val="20"/>
        </w:rPr>
      </w:pPr>
      <w:r>
        <w:rPr>
          <w:rFonts w:ascii="arial" w:hAnsi="arial"/>
          <w:sz w:val="20"/>
        </w:rPr>
        <w:t xml:space="preserve">Our executive annual incentive plan is designed to motivate and reward our NEOs for achieving annual performance objectives by tying the majority of the EAIP award to attainment of a pre-established financial goal. We believe this program supports our “pay-for-performance” culture. 75% of the target EAIP award is determined formulaically based on corporate Adjusted EBITDA performance, and the remaining 25% is based on a qualitative assessment of the attainment of other financial, strategic, operational and individual goals established by the Committee.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858385" cy="717550"/>
            <wp:effectExtent l="0" t="0" r="0" b="0"/>
            <wp:docPr id="7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2" descr=""/>
                    <pic:cNvPicPr>
                      <a:picLocks noChangeAspect="1" noChangeArrowheads="1"/>
                    </pic:cNvPicPr>
                  </pic:nvPicPr>
                  <pic:blipFill>
                    <a:blip r:embed="rId73"/>
                    <a:stretch>
                      <a:fillRect/>
                    </a:stretch>
                  </pic:blipFill>
                  <pic:spPr bwMode="auto">
                    <a:xfrm>
                      <a:off x="0" y="0"/>
                      <a:ext cx="4858385" cy="71755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The Committee utilized Adjusted EBITDA as elements in both the Company’s EAIP and ELTI in recognition that Adjusted EBITDA is viewed as a core driver of the Company’s performance and shareholder value creation. In designing the Company’s executive compensation program, the Committee supplemented this measure with additional performance measures in order to strike an appropriate balance with respect to incentivizing top-line growth, profitability, non-financial business imperatives and shareholder returns over both the short-term and long-term horizons. </w:t>
      </w:r>
    </w:p>
    <w:p>
      <w:pPr>
        <w:pStyle w:val="TextBody"/>
        <w:bidi w:val="0"/>
        <w:spacing w:before="360" w:after="0"/>
        <w:jc w:val="left"/>
        <w:rPr>
          <w:rFonts w:ascii="arial" w:hAnsi="arial"/>
          <w:b/>
          <w:i/>
          <w:sz w:val="20"/>
        </w:rPr>
      </w:pPr>
      <w:r>
        <w:rPr>
          <w:rFonts w:ascii="arial" w:hAnsi="arial"/>
          <w:b/>
          <w:i/>
          <w:sz w:val="20"/>
        </w:rPr>
        <w:t xml:space="preserve">Financial Component (75%) </w:t>
      </w:r>
    </w:p>
    <w:p>
      <w:pPr>
        <w:pStyle w:val="TextBody"/>
        <w:bidi w:val="0"/>
        <w:spacing w:before="120" w:after="0"/>
        <w:jc w:val="left"/>
        <w:rPr>
          <w:rFonts w:ascii="arial" w:hAnsi="arial"/>
          <w:sz w:val="20"/>
        </w:rPr>
      </w:pPr>
      <w:r>
        <w:rPr>
          <w:rFonts w:ascii="arial" w:hAnsi="arial"/>
          <w:sz w:val="20"/>
        </w:rPr>
        <w:t xml:space="preserve">As noted above, 75% of the target EAIP payout was determined formulaically based on achievement of the annual Adjusted EBITDA (as defined in in Item 7. Management’s Discussion and Analysis of Financial Condition and Results of Operations in the Form 10-K for the fiscal year ended December 31, 2025) target (the “Financial Component”). In February 2025, the Committee set an Adjusted EBITDA target of $1,195.5 million, which was set higher than the actual 2024 Adjusted EBITDA performance of $1,159.2 million. The Compensation Committee believed at the time that the performance targets were rigorous yet achievable, and therefore established the targets so that the targets would be achieved, at the target performance level, if the Company successfully executed against its operating plan for 2025. Consistent with the 2024 EAIP design, potential EAIP payouts for the Financial Component ranged from 0% to 200% (i.e., 0% to 150% of total target EAIP award) based on the achievement of the pre-established financial goal in accordance with the following table: </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2765"/>
        <w:gridCol w:w="120"/>
        <w:gridCol w:w="2405"/>
        <w:gridCol w:w="120"/>
        <w:gridCol w:w="2765"/>
      </w:tblGrid>
      <w:tr>
        <w:trPr/>
        <w:tc>
          <w:tcPr>
            <w:tcW w:w="2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2765"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2525"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2885" w:type="dxa"/>
            <w:gridSpan w:val="2"/>
            <w:tcBorders>
              <w:top w:val="single" w:sz="16" w:space="0" w:color="004876"/>
              <w:right w:val="single" w:sz="6" w:space="0" w:color="004876"/>
            </w:tcBorders>
            <w:shd w:fill="004876" w:val="clear"/>
            <w:tcMar>
              <w:top w:w="28" w:type="dxa"/>
              <w:right w:w="28" w:type="dxa"/>
            </w:tcMar>
            <w:vAlign w:val="center"/>
          </w:tcPr>
          <w:p>
            <w:pPr>
              <w:pStyle w:val="TableContents"/>
              <w:bidi w:val="0"/>
              <w:spacing w:before="0" w:after="283"/>
              <w:jc w:val="left"/>
              <w:rPr/>
            </w:pPr>
            <w:r>
              <w:rPr/>
              <w:t> </w:t>
            </w:r>
          </w:p>
        </w:tc>
      </w:tr>
      <w:tr>
        <w:trPr/>
        <w:tc>
          <w:tcPr>
            <w:tcW w:w="2765" w:type="dxa"/>
            <w:tcBorders>
              <w:bottom w:val="single" w:sz="16" w:space="0" w:color="004876"/>
            </w:tcBorders>
            <w:shd w:fill="004876" w:val="clear"/>
            <w:tcMar>
              <w:bottom w:w="120" w:type="dxa"/>
            </w:tcMar>
            <w:vAlign w:val="center"/>
          </w:tcPr>
          <w:p>
            <w:pPr>
              <w:pStyle w:val="TableContents"/>
              <w:bidi w:val="0"/>
              <w:spacing w:before="0" w:after="283"/>
              <w:jc w:val="center"/>
              <w:rPr>
                <w:color w:val="FFFFFF"/>
              </w:rPr>
            </w:pPr>
            <w:r>
              <w:rPr>
                <w:color w:val="FFFFFF"/>
              </w:rPr>
              <w:t> </w:t>
            </w:r>
            <w:r>
              <w:rPr>
                <w:b/>
                <w:color w:val="FFFFFF"/>
              </w:rPr>
              <w:t>Percentage of Adjusted</w:t>
              <w:br/>
              <w:t> EBITDA Goal Achieved*</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2405" w:type="dxa"/>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Percentage of Financial</w:t>
              <w:br/>
              <w:t>Component Awarded</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2765" w:type="dxa"/>
            <w:tcBorders>
              <w:bottom w:val="single" w:sz="16" w:space="0" w:color="004876"/>
              <w:right w:val="single" w:sz="6" w:space="0" w:color="004876"/>
            </w:tcBorders>
            <w:shd w:fill="004876" w:val="clear"/>
            <w:tcMar>
              <w:bottom w:w="120" w:type="dxa"/>
              <w:right w:w="40" w:type="dxa"/>
            </w:tcMar>
            <w:vAlign w:val="center"/>
          </w:tcPr>
          <w:p>
            <w:pPr>
              <w:pStyle w:val="TableContents"/>
              <w:bidi w:val="0"/>
              <w:spacing w:before="0" w:after="283"/>
              <w:jc w:val="center"/>
              <w:rPr>
                <w:b/>
                <w:color w:val="FFFFFF"/>
              </w:rPr>
            </w:pPr>
            <w:r>
              <w:rPr>
                <w:b/>
                <w:color w:val="FFFFFF"/>
              </w:rPr>
              <w:t>Percentage of Total Target</w:t>
              <w:br/>
              <w:t>EAIP Award Awarded</w:t>
            </w:r>
          </w:p>
        </w:tc>
      </w:tr>
      <w:tr>
        <w:trPr/>
        <w:tc>
          <w:tcPr>
            <w:tcW w:w="2765" w:type="dxa"/>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276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Below 80%</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40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0%</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76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0%</w:t>
            </w:r>
          </w:p>
        </w:tc>
      </w:tr>
      <w:tr>
        <w:trPr/>
        <w:tc>
          <w:tcPr>
            <w:tcW w:w="2765" w:type="dxa"/>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276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80%</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40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50%</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76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37.5%</w:t>
            </w:r>
          </w:p>
        </w:tc>
      </w:tr>
      <w:tr>
        <w:trPr/>
        <w:tc>
          <w:tcPr>
            <w:tcW w:w="2765" w:type="dxa"/>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276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100%</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40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100%</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76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75%</w:t>
            </w:r>
          </w:p>
        </w:tc>
      </w:tr>
      <w:tr>
        <w:trPr/>
        <w:tc>
          <w:tcPr>
            <w:tcW w:w="2765" w:type="dxa"/>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276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110%</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40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150%</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76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112.5%</w:t>
            </w:r>
          </w:p>
        </w:tc>
      </w:tr>
      <w:tr>
        <w:trPr/>
        <w:tc>
          <w:tcPr>
            <w:tcW w:w="2765" w:type="dxa"/>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276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120%</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40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200%</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765" w:type="dxa"/>
            <w:tcBorders>
              <w:bottom w:val="single" w:sz="6" w:space="0" w:color="B99C16"/>
            </w:tcBorders>
            <w:tcMar>
              <w:bottom w:w="120" w:type="dxa"/>
            </w:tcMar>
            <w:vAlign w:val="center"/>
          </w:tcPr>
          <w:p>
            <w:pPr>
              <w:pStyle w:val="TableContents"/>
              <w:bidi w:val="0"/>
              <w:spacing w:lineRule="atLeast" w:line="320" w:before="0" w:after="0"/>
              <w:jc w:val="center"/>
              <w:rPr>
                <w:rFonts w:ascii="arial" w:hAnsi="arial"/>
                <w:sz w:val="20"/>
              </w:rPr>
            </w:pPr>
            <w:r>
              <w:rPr>
                <w:rFonts w:ascii="arial" w:hAnsi="arial"/>
                <w:sz w:val="20"/>
              </w:rPr>
              <w:t>150%</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155"/>
        <w:gridCol w:w="5210"/>
      </w:tblGrid>
      <w:tr>
        <w:trPr/>
        <w:tc>
          <w:tcPr>
            <w:tcW w:w="155"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0"/>
              <w:jc w:val="left"/>
              <w:rPr>
                <w:rFonts w:ascii="arial" w:hAnsi="arial"/>
                <w:sz w:val="18"/>
              </w:rPr>
            </w:pPr>
            <w:r>
              <w:rPr>
                <w:rFonts w:ascii="arial" w:hAnsi="arial"/>
                <w:sz w:val="18"/>
              </w:rPr>
              <w:t xml:space="preserve">Amounts in between based on interpolation between the points </w:t>
            </w:r>
          </w:p>
        </w:tc>
      </w:tr>
    </w:tbl>
    <w:p>
      <w:pPr>
        <w:pStyle w:val="TextBody"/>
        <w:bidi w:val="0"/>
        <w:spacing w:before="240" w:after="0"/>
        <w:jc w:val="left"/>
        <w:rPr>
          <w:rFonts w:ascii="arial" w:hAnsi="arial"/>
          <w:sz w:val="20"/>
        </w:rPr>
      </w:pPr>
      <w:r>
        <w:rPr>
          <w:rFonts w:ascii="arial" w:hAnsi="arial"/>
          <w:sz w:val="20"/>
        </w:rPr>
        <w:t xml:space="preserve">In 2025, the actual Company performance was $1,205.3 million in Adjusted EBITDA, which was 100.8% of the target of $1,195.5 million. This performance resulted in a payout for each NEO at 104.1% of target for the Financial Component (i.e., 78% of the target EAIP award) as detailed below. </w:t>
      </w:r>
    </w:p>
    <w:p>
      <w:pPr>
        <w:pStyle w:val="TextBody"/>
        <w:bidi w:val="0"/>
        <w:spacing w:before="0" w:after="0"/>
        <w:jc w:val="left"/>
        <w:rPr/>
      </w:pPr>
      <w:r>
        <w:rPr/>
        <w:t> </w:t>
      </w:r>
    </w:p>
    <w:tbl>
      <w:tblPr>
        <w:tblW w:w="11980" w:type="dxa"/>
        <w:jc w:val="left"/>
        <w:tblInd w:w="0" w:type="dxa"/>
        <w:tblLayout w:type="fixed"/>
        <w:tblCellMar>
          <w:top w:w="0" w:type="dxa"/>
          <w:left w:w="0" w:type="dxa"/>
          <w:bottom w:w="0" w:type="dxa"/>
          <w:right w:w="0" w:type="dxa"/>
        </w:tblCellMar>
      </w:tblPr>
      <w:tblGrid>
        <w:gridCol w:w="1820"/>
        <w:gridCol w:w="60"/>
        <w:gridCol w:w="2225"/>
        <w:gridCol w:w="60"/>
        <w:gridCol w:w="2525"/>
        <w:gridCol w:w="60"/>
        <w:gridCol w:w="2405"/>
        <w:gridCol w:w="60"/>
        <w:gridCol w:w="2765"/>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1820"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2285"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2585"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2465"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2825" w:type="dxa"/>
            <w:gridSpan w:val="2"/>
            <w:tcBorders>
              <w:top w:val="single" w:sz="16" w:space="0" w:color="004876"/>
              <w:right w:val="single" w:sz="6" w:space="0" w:color="004876"/>
            </w:tcBorders>
            <w:shd w:fill="004876" w:val="clear"/>
            <w:tcMar>
              <w:top w:w="28" w:type="dxa"/>
              <w:right w:w="28" w:type="dxa"/>
            </w:tcMar>
            <w:vAlign w:val="center"/>
          </w:tcPr>
          <w:p>
            <w:pPr>
              <w:pStyle w:val="TableContents"/>
              <w:bidi w:val="0"/>
              <w:spacing w:before="0" w:after="283"/>
              <w:jc w:val="left"/>
              <w:rPr/>
            </w:pPr>
            <w:r>
              <w:rPr/>
              <w:t> </w:t>
            </w:r>
          </w:p>
        </w:tc>
      </w:tr>
      <w:tr>
        <w:trPr/>
        <w:tc>
          <w:tcPr>
            <w:tcW w:w="1820" w:type="dxa"/>
            <w:tcBorders>
              <w:bottom w:val="single" w:sz="1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2025 Adjusted EBITDA</w:t>
            </w:r>
          </w:p>
          <w:p>
            <w:pPr>
              <w:pStyle w:val="TableContents"/>
              <w:bidi w:val="0"/>
              <w:spacing w:before="0" w:after="20"/>
              <w:jc w:val="center"/>
              <w:rPr>
                <w:rFonts w:ascii="arial" w:hAnsi="arial"/>
                <w:b/>
                <w:color w:val="FFFFFF"/>
                <w:sz w:val="16"/>
              </w:rPr>
            </w:pPr>
            <w:r>
              <w:rPr>
                <w:rFonts w:ascii="arial" w:hAnsi="arial"/>
                <w:b/>
                <w:color w:val="FFFFFF"/>
                <w:sz w:val="16"/>
              </w:rPr>
              <w:t>Target (in millions)</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2225" w:type="dxa"/>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2025 Actual Adjusted</w:t>
              <w:br/>
              <w:t>EBITDA (in millions)</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2525" w:type="dxa"/>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Actual Performance as a</w:t>
              <w:br/>
              <w:t>percentage of Adjusted</w:t>
              <w:br/>
              <w:t>EBITDA Target</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2405" w:type="dxa"/>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Percentage of Financial</w:t>
              <w:br/>
              <w:t>Component</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2765" w:type="dxa"/>
            <w:tcBorders>
              <w:bottom w:val="single" w:sz="16" w:space="0" w:color="004876"/>
              <w:right w:val="single" w:sz="6" w:space="0" w:color="004876"/>
            </w:tcBorders>
            <w:shd w:fill="004876" w:val="clear"/>
            <w:tcMar>
              <w:bottom w:w="120" w:type="dxa"/>
              <w:right w:w="40" w:type="dxa"/>
            </w:tcMar>
            <w:vAlign w:val="center"/>
          </w:tcPr>
          <w:p>
            <w:pPr>
              <w:pStyle w:val="TableContents"/>
              <w:bidi w:val="0"/>
              <w:spacing w:before="0" w:after="283"/>
              <w:jc w:val="center"/>
              <w:rPr>
                <w:b/>
                <w:color w:val="FFFFFF"/>
              </w:rPr>
            </w:pPr>
            <w:r>
              <w:rPr>
                <w:b/>
                <w:color w:val="FFFFFF"/>
              </w:rPr>
              <w:t>Percentage of Total Target</w:t>
              <w:br/>
              <w:t>EAIP Award</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B99C16"/>
            </w:tcBorders>
            <w:tcMar>
              <w:bottom w:w="120" w:type="dxa"/>
            </w:tcMar>
            <w:vAlign w:val="center"/>
          </w:tcPr>
          <w:p>
            <w:pPr>
              <w:pStyle w:val="TableContents"/>
              <w:bidi w:val="0"/>
              <w:spacing w:before="0" w:after="283"/>
              <w:jc w:val="center"/>
              <w:rPr/>
            </w:pPr>
            <w:r>
              <w:rPr/>
              <w:t>$1,195.5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225" w:type="dxa"/>
            <w:tcBorders>
              <w:bottom w:val="single" w:sz="6" w:space="0" w:color="B99C16"/>
            </w:tcBorders>
            <w:tcMar>
              <w:bottom w:w="120" w:type="dxa"/>
            </w:tcMar>
            <w:vAlign w:val="center"/>
          </w:tcPr>
          <w:p>
            <w:pPr>
              <w:pStyle w:val="TableContents"/>
              <w:bidi w:val="0"/>
              <w:spacing w:before="0" w:after="283"/>
              <w:jc w:val="center"/>
              <w:rPr/>
            </w:pPr>
            <w:r>
              <w:rPr/>
              <w:t>$1,205.3</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525" w:type="dxa"/>
            <w:tcBorders>
              <w:bottom w:val="single" w:sz="6" w:space="0" w:color="B99C16"/>
            </w:tcBorders>
            <w:tcMar>
              <w:bottom w:w="120" w:type="dxa"/>
            </w:tcMar>
            <w:vAlign w:val="center"/>
          </w:tcPr>
          <w:p>
            <w:pPr>
              <w:pStyle w:val="TableContents"/>
              <w:bidi w:val="0"/>
              <w:spacing w:before="0" w:after="283"/>
              <w:jc w:val="center"/>
              <w:rPr/>
            </w:pPr>
            <w:r>
              <w:rPr/>
              <w:t>100.8%</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405" w:type="dxa"/>
            <w:tcBorders>
              <w:bottom w:val="single" w:sz="6" w:space="0" w:color="B99C16"/>
            </w:tcBorders>
            <w:tcMar>
              <w:bottom w:w="120" w:type="dxa"/>
            </w:tcMar>
            <w:vAlign w:val="center"/>
          </w:tcPr>
          <w:p>
            <w:pPr>
              <w:pStyle w:val="TableContents"/>
              <w:bidi w:val="0"/>
              <w:spacing w:before="0" w:after="283"/>
              <w:jc w:val="center"/>
              <w:rPr/>
            </w:pPr>
            <w:r>
              <w:rPr/>
              <w:t>104.1%</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765" w:type="dxa"/>
            <w:tcBorders>
              <w:bottom w:val="single" w:sz="6" w:space="0" w:color="B99C16"/>
            </w:tcBorders>
            <w:tcMar>
              <w:bottom w:w="120" w:type="dxa"/>
            </w:tcMar>
            <w:vAlign w:val="center"/>
          </w:tcPr>
          <w:p>
            <w:pPr>
              <w:pStyle w:val="TableContents"/>
              <w:bidi w:val="0"/>
              <w:spacing w:before="0" w:after="283"/>
              <w:jc w:val="center"/>
              <w:rPr/>
            </w:pPr>
            <w:r>
              <w:rPr/>
              <w:t>78%</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34</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7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3" descr=""/>
                          <pic:cNvPicPr>
                            <a:picLocks noChangeAspect="1" noChangeArrowheads="1"/>
                          </pic:cNvPicPr>
                        </pic:nvPicPr>
                        <pic:blipFill>
                          <a:blip r:embed="rId74"/>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i/>
          <w:sz w:val="20"/>
        </w:rPr>
      </w:pPr>
      <w:r>
        <w:rPr>
          <w:rFonts w:ascii="arial" w:hAnsi="arial"/>
          <w:b/>
          <w:i/>
          <w:sz w:val="20"/>
        </w:rPr>
        <w:t xml:space="preserve">Qualitative Component (25%) </w:t>
      </w:r>
    </w:p>
    <w:p>
      <w:pPr>
        <w:pStyle w:val="TextBody"/>
        <w:bidi w:val="0"/>
        <w:spacing w:before="120" w:after="0"/>
        <w:jc w:val="left"/>
        <w:rPr>
          <w:rFonts w:ascii="arial" w:hAnsi="arial"/>
          <w:sz w:val="20"/>
        </w:rPr>
      </w:pPr>
      <w:r>
        <w:rPr>
          <w:rFonts w:ascii="arial" w:hAnsi="arial"/>
          <w:sz w:val="20"/>
        </w:rPr>
        <w:t xml:space="preserve">Pursuant to the EAIP, the Committee established secondary performance goals for the Company and its executives to be used to determine the vesting of the qualitative component under the EAIP, weighted 25% (the “Qualitative Component”). </w:t>
      </w:r>
    </w:p>
    <w:p>
      <w:pPr>
        <w:pStyle w:val="TextBody"/>
        <w:bidi w:val="0"/>
        <w:spacing w:before="240" w:after="0"/>
        <w:jc w:val="left"/>
        <w:rPr>
          <w:rFonts w:ascii="arial" w:hAnsi="arial"/>
          <w:sz w:val="20"/>
        </w:rPr>
      </w:pPr>
      <w:r>
        <w:rPr>
          <w:rFonts w:ascii="arial" w:hAnsi="arial"/>
          <w:sz w:val="20"/>
        </w:rPr>
        <w:t xml:space="preserve">The Committee set performance goals for 2025, based upon a comprehensive assessment of the Company against its long-term strategic plan and its ability to achieve said goals with its current leadership team and key employees. </w:t>
      </w:r>
    </w:p>
    <w:p>
      <w:pPr>
        <w:pStyle w:val="TextBody"/>
        <w:bidi w:val="0"/>
        <w:spacing w:before="240" w:after="0"/>
        <w:jc w:val="left"/>
        <w:rPr>
          <w:rFonts w:ascii="arial" w:hAnsi="arial"/>
          <w:sz w:val="20"/>
        </w:rPr>
      </w:pPr>
      <w:r>
        <w:rPr>
          <w:rFonts w:ascii="arial" w:hAnsi="arial"/>
          <w:sz w:val="20"/>
        </w:rPr>
        <w:t xml:space="preserve">Individual performance by the NEOs (as measured by various factors, including, but not limited to, continued growth and diversification of the Company’s asset portfolio, customer and employee satisfaction, and the completion of certain specified legislative and regulatory outcomes), and business unit performance led by the Company’s key employees (as measured by, among other things, revenue performance) was also considered in evaluating the Company’s performance, and determining the level of compensation deemed necessary to incent and reward the NEOs and key employees to continue to drive growth. These goals relate to the Company’s overall financial goals, strategic goals, and business segment goals, respectively, with no specific weighting attributed to any one goal. </w:t>
      </w:r>
    </w:p>
    <w:p>
      <w:pPr>
        <w:pStyle w:val="TextBody"/>
        <w:bidi w:val="0"/>
        <w:spacing w:before="240" w:after="0"/>
        <w:jc w:val="left"/>
        <w:rPr>
          <w:rFonts w:ascii="arial" w:hAnsi="arial"/>
          <w:sz w:val="20"/>
        </w:rPr>
      </w:pPr>
      <w:r>
        <w:rPr>
          <w:rFonts w:ascii="arial" w:hAnsi="arial"/>
          <w:sz w:val="20"/>
        </w:rPr>
        <w:t xml:space="preserve">In evaluating 2025 performance, a few of the accomplishments that were considered to be significantly above target by the Committee included: </w:t>
      </w:r>
    </w:p>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185"/>
        <w:gridCol w:w="60"/>
        <w:gridCol w:w="9845"/>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arial" w:hAnsi="arial"/>
                <w:sz w:val="20"/>
              </w:rPr>
            </w:pPr>
            <w:r>
              <w:rPr>
                <w:rFonts w:ascii="arial" w:hAnsi="arial"/>
                <w:sz w:val="20"/>
              </w:rPr>
              <w:t xml:space="preserve">The acquisition of Casino Salem, a charitable gaming facility located in Salem, New Hampshire, in August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The completion and opening of Owensboro Racing and Gaming, a new HRM facility located in Owensboro, Kentucky, in February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The completion of the Starting Gate Pavilion and Courtyard project at Churchill Downs Racetrack prior to the 151st Kentucky Derby in May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The ongoing capital management execution enabling the Company to fund capital projects, grow dividends, and buy back shares while maintaining one of the strongest balance sheets in the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The strengthening of relationships with investors and analysts that has increased shareholder engagement and created substantial support for long-term shareholder value creation.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color w:val="004876"/>
              </w:rPr>
            </w:pPr>
            <w:r>
              <w:rPr>
                <w:color w:val="004876"/>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The ongoing strengthening of the Company’s leadership team and development of team members with varied backgrounds across the Company to support long-term sustainable business growth. </w:t>
            </w:r>
          </w:p>
        </w:tc>
      </w:tr>
    </w:tbl>
    <w:p>
      <w:pPr>
        <w:pStyle w:val="TextBody"/>
        <w:bidi w:val="0"/>
        <w:spacing w:before="240" w:after="0"/>
        <w:jc w:val="left"/>
        <w:rPr>
          <w:rFonts w:ascii="arial" w:hAnsi="arial"/>
          <w:sz w:val="20"/>
        </w:rPr>
      </w:pPr>
      <w:r>
        <w:rPr>
          <w:rFonts w:ascii="arial" w:hAnsi="arial"/>
          <w:sz w:val="20"/>
        </w:rPr>
        <w:t>In determining the EAIP payouts for the Qualitative Component, the Compensation Committee exercises its discretion to determine whether to payout at, above, or below the target opportunities based upon its review of the outcomes evaluated against Company and individual performance. The individual Qualitative Component awards for Mr. Carstanjen, Mr. Mudd, Ms. Dall, and Mr. Blackwell were equal to 200% of target (50% of total target EAIP award) and for Ms. Adams was equal to 100% of target (25% of total target EAIP award), in each case made pursuant to the EAIP in recognition of the NEOs’ respective roles in driving performance during the period ending December 31, 2025.</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7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4" descr=""/>
                          <pic:cNvPicPr>
                            <a:picLocks noChangeAspect="1" noChangeArrowheads="1"/>
                          </pic:cNvPicPr>
                        </pic:nvPicPr>
                        <pic:blipFill>
                          <a:blip r:embed="rId75"/>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35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i/>
          <w:sz w:val="20"/>
        </w:rPr>
      </w:pPr>
      <w:r>
        <w:rPr>
          <w:rFonts w:ascii="arial" w:hAnsi="arial"/>
          <w:b/>
          <w:i/>
          <w:sz w:val="20"/>
        </w:rPr>
        <w:t xml:space="preserve">Summary of 2025 EAIP Awards </w:t>
      </w:r>
    </w:p>
    <w:p>
      <w:pPr>
        <w:pStyle w:val="TextBody"/>
        <w:bidi w:val="0"/>
        <w:spacing w:before="120" w:after="0"/>
        <w:jc w:val="left"/>
        <w:rPr>
          <w:rFonts w:ascii="arial" w:hAnsi="arial"/>
          <w:sz w:val="20"/>
        </w:rPr>
      </w:pPr>
      <w:r>
        <w:rPr>
          <w:rFonts w:ascii="arial" w:hAnsi="arial"/>
          <w:sz w:val="20"/>
        </w:rPr>
        <w:t xml:space="preserve">As noted above, the Company exhibited strong overall financial performance in 2025 and the NEOs were viewed by the Committee to be the primary parties responsible for the actual performance relative to the performance goals established with respect to 2025. The Committee, after considering the Company’s overall performance, awarded Mr. Carstanjen, Mr. Mudd, Ms. Dall, and Mr. Blackwell the total EAIP awards equal to 128% of target and Ms. Adams the total EAIP award equal to 103% of target, in each case as shown in the table below and in the 2025 Summary Compensation Table in the column labeled “Non-Equity Incentive Plan Compensation.” </w:t>
      </w:r>
    </w:p>
    <w:p>
      <w:pPr>
        <w:pStyle w:val="TextBody"/>
        <w:bidi w:val="0"/>
        <w:spacing w:before="0" w:after="0"/>
        <w:jc w:val="left"/>
        <w:rPr/>
      </w:pPr>
      <w:r>
        <w:rPr/>
        <w:t> </w:t>
      </w:r>
    </w:p>
    <w:tbl>
      <w:tblPr>
        <w:tblW w:w="10285" w:type="dxa"/>
        <w:jc w:val="left"/>
        <w:tblInd w:w="0" w:type="dxa"/>
        <w:tblLayout w:type="fixed"/>
        <w:tblCellMar>
          <w:top w:w="0" w:type="dxa"/>
          <w:left w:w="0" w:type="dxa"/>
          <w:bottom w:w="0" w:type="dxa"/>
          <w:right w:w="0" w:type="dxa"/>
        </w:tblCellMar>
      </w:tblPr>
      <w:tblGrid>
        <w:gridCol w:w="1910"/>
        <w:gridCol w:w="60"/>
        <w:gridCol w:w="258"/>
        <w:gridCol w:w="1442"/>
        <w:gridCol w:w="260"/>
        <w:gridCol w:w="60"/>
        <w:gridCol w:w="109"/>
        <w:gridCol w:w="1591"/>
        <w:gridCol w:w="60"/>
        <w:gridCol w:w="60"/>
        <w:gridCol w:w="251"/>
        <w:gridCol w:w="1404"/>
        <w:gridCol w:w="260"/>
        <w:gridCol w:w="60"/>
        <w:gridCol w:w="85"/>
        <w:gridCol w:w="1240"/>
        <w:gridCol w:w="60"/>
        <w:gridCol w:w="60"/>
        <w:gridCol w:w="62"/>
        <w:gridCol w:w="918"/>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2020"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820"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975"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445"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115" w:type="dxa"/>
            <w:gridSpan w:val="4"/>
            <w:tcBorders>
              <w:top w:val="single" w:sz="16" w:space="0" w:color="004876"/>
              <w:right w:val="single" w:sz="6" w:space="0" w:color="004876"/>
            </w:tcBorders>
            <w:shd w:fill="004876" w:val="clear"/>
            <w:tcMar>
              <w:top w:w="28" w:type="dxa"/>
              <w:right w:w="28" w:type="dxa"/>
            </w:tcMar>
            <w:vAlign w:val="center"/>
          </w:tcPr>
          <w:p>
            <w:pPr>
              <w:pStyle w:val="TableContents"/>
              <w:bidi w:val="0"/>
              <w:spacing w:before="0" w:after="283"/>
              <w:jc w:val="left"/>
              <w:rPr/>
            </w:pPr>
            <w:r>
              <w:rPr/>
              <w:t> </w:t>
            </w:r>
          </w:p>
        </w:tc>
      </w:tr>
      <w:tr>
        <w:trPr/>
        <w:tc>
          <w:tcPr>
            <w:tcW w:w="1910" w:type="dxa"/>
            <w:tcBorders>
              <w:bottom w:val="single" w:sz="16" w:space="0" w:color="004876"/>
            </w:tcBorders>
            <w:shd w:fill="004876" w:val="clear"/>
            <w:tcMar>
              <w:bottom w:w="120" w:type="dxa"/>
            </w:tcM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700"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Target Incentive</w:t>
              <w:br/>
              <w:t>Award as a</w:t>
              <w:br/>
              <w:t>Percentage of</w:t>
              <w:br/>
              <w:t>Salary(1)</w:t>
            </w:r>
          </w:p>
        </w:tc>
        <w:tc>
          <w:tcPr>
            <w:tcW w:w="2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700"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Target Incentive</w:t>
              <w:br/>
              <w:t>Award in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655" w:type="dxa"/>
            <w:gridSpan w:val="2"/>
            <w:tcBorders>
              <w:bottom w:val="single" w:sz="1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Maximum</w:t>
              <w:br/>
              <w:t>Incentive Award as a</w:t>
              <w:br/>
              <w:t>Percentage of</w:t>
            </w:r>
          </w:p>
          <w:p>
            <w:pPr>
              <w:pStyle w:val="TableContents"/>
              <w:bidi w:val="0"/>
              <w:spacing w:before="0" w:after="20"/>
              <w:jc w:val="center"/>
              <w:rPr>
                <w:rFonts w:ascii="arial" w:hAnsi="arial"/>
                <w:b/>
                <w:color w:val="FFFFFF"/>
                <w:sz w:val="16"/>
              </w:rPr>
            </w:pPr>
            <w:r>
              <w:rPr>
                <w:rFonts w:ascii="arial" w:hAnsi="arial"/>
                <w:b/>
                <w:color w:val="FFFFFF"/>
                <w:sz w:val="16"/>
              </w:rPr>
              <w:t>Salary</w:t>
            </w:r>
          </w:p>
        </w:tc>
        <w:tc>
          <w:tcPr>
            <w:tcW w:w="2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325"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Maximum</w:t>
              <w:br/>
              <w:t>Incentive</w:t>
              <w:br/>
              <w:t>Award in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980" w:type="dxa"/>
            <w:gridSpan w:val="2"/>
            <w:tcBorders>
              <w:bottom w:val="single" w:sz="1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Actual 2025</w:t>
            </w:r>
          </w:p>
          <w:p>
            <w:pPr>
              <w:pStyle w:val="TableContents"/>
              <w:bidi w:val="0"/>
              <w:spacing w:before="0" w:after="0"/>
              <w:jc w:val="center"/>
              <w:rPr>
                <w:color w:val="FFFFFF"/>
              </w:rPr>
            </w:pPr>
            <w:r>
              <w:rPr>
                <w:color w:val="FFFFFF"/>
              </w:rPr>
              <w:t>  </w:t>
            </w:r>
            <w:r>
              <w:rPr>
                <w:rFonts w:ascii="arial" w:hAnsi="arial"/>
                <w:b/>
                <w:color w:val="FFFFFF"/>
                <w:sz w:val="16"/>
              </w:rPr>
              <w:t>Incentive  </w:t>
            </w:r>
          </w:p>
          <w:p>
            <w:pPr>
              <w:pStyle w:val="TableContents"/>
              <w:bidi w:val="0"/>
              <w:spacing w:before="0" w:after="20"/>
              <w:jc w:val="center"/>
              <w:rPr>
                <w:rFonts w:ascii="arial" w:hAnsi="arial"/>
                <w:b/>
                <w:color w:val="FFFFFF"/>
                <w:sz w:val="16"/>
              </w:rPr>
            </w:pPr>
            <w:r>
              <w:rPr>
                <w:rFonts w:ascii="arial" w:hAnsi="arial"/>
                <w:b/>
                <w:color w:val="FFFFFF"/>
                <w:sz w:val="16"/>
              </w:rPr>
              <w:t>Award in ($)</w:t>
            </w:r>
          </w:p>
        </w:tc>
        <w:tc>
          <w:tcPr>
            <w:tcW w:w="75" w:type="dxa"/>
            <w:tcBorders>
              <w:bottom w:val="single" w:sz="16" w:space="0" w:color="004876"/>
              <w:right w:val="single" w:sz="6" w:space="0" w:color="004876"/>
            </w:tcBorders>
            <w:shd w:fill="004876" w:val="clear"/>
            <w:tcMar>
              <w:bottom w:w="28" w:type="dxa"/>
              <w:right w:w="40" w:type="dxa"/>
            </w:tcMar>
            <w:vAlign w:val="center"/>
          </w:tcPr>
          <w:p>
            <w:pPr>
              <w:pStyle w:val="TableContents"/>
              <w:bidi w:val="0"/>
              <w:spacing w:before="0" w:after="283"/>
              <w:jc w:val="left"/>
              <w:rPr/>
            </w:pPr>
            <w:r>
              <w:rPr/>
              <w:t> </w:t>
            </w:r>
          </w:p>
        </w:tc>
      </w:tr>
      <w:tr>
        <w:trPr/>
        <w:tc>
          <w:tcPr>
            <w:tcW w:w="1910" w:type="dxa"/>
            <w:tcBorders>
              <w:top w:val="single" w:sz="6" w:space="0" w:color="004876"/>
            </w:tcBorders>
            <w:shd w:fill="F4F0DC" w:val="clear"/>
            <w:tcMar>
              <w:top w:w="28" w:type="dxa"/>
            </w:tcMar>
            <w:vAlign w:val="center"/>
          </w:tcPr>
          <w:p>
            <w:pPr>
              <w:pStyle w:val="TableContents"/>
              <w:bidi w:val="0"/>
              <w:spacing w:before="0" w:after="283"/>
              <w:jc w:val="left"/>
              <w:rPr/>
            </w:pPr>
            <w:r>
              <w:rPr/>
              <w:t> </w:t>
            </w:r>
          </w:p>
        </w:tc>
        <w:tc>
          <w:tcPr>
            <w:tcW w:w="2020" w:type="dxa"/>
            <w:gridSpan w:val="4"/>
            <w:tcBorders>
              <w:top w:val="single" w:sz="6" w:space="0" w:color="004876"/>
            </w:tcBorders>
            <w:tcMar>
              <w:top w:w="28" w:type="dxa"/>
            </w:tcMar>
            <w:vAlign w:val="center"/>
          </w:tcPr>
          <w:p>
            <w:pPr>
              <w:pStyle w:val="TableContents"/>
              <w:bidi w:val="0"/>
              <w:spacing w:before="0" w:after="283"/>
              <w:jc w:val="left"/>
              <w:rPr/>
            </w:pPr>
            <w:r>
              <w:rPr/>
              <w:t> </w:t>
            </w:r>
          </w:p>
        </w:tc>
        <w:tc>
          <w:tcPr>
            <w:tcW w:w="1820" w:type="dxa"/>
            <w:gridSpan w:val="4"/>
            <w:tcBorders>
              <w:top w:val="single" w:sz="6" w:space="0" w:color="004876"/>
            </w:tcBorders>
            <w:tcMar>
              <w:top w:w="28" w:type="dxa"/>
            </w:tcMar>
            <w:vAlign w:val="center"/>
          </w:tcPr>
          <w:p>
            <w:pPr>
              <w:pStyle w:val="TableContents"/>
              <w:bidi w:val="0"/>
              <w:spacing w:before="0" w:after="283"/>
              <w:jc w:val="left"/>
              <w:rPr/>
            </w:pPr>
            <w:r>
              <w:rPr/>
              <w:t> </w:t>
            </w:r>
          </w:p>
        </w:tc>
        <w:tc>
          <w:tcPr>
            <w:tcW w:w="1975" w:type="dxa"/>
            <w:gridSpan w:val="4"/>
            <w:tcBorders>
              <w:top w:val="single" w:sz="6" w:space="0" w:color="004876"/>
            </w:tcBorders>
            <w:tcMar>
              <w:top w:w="28" w:type="dxa"/>
            </w:tcMar>
            <w:vAlign w:val="center"/>
          </w:tcPr>
          <w:p>
            <w:pPr>
              <w:pStyle w:val="TableContents"/>
              <w:bidi w:val="0"/>
              <w:spacing w:before="0" w:after="283"/>
              <w:jc w:val="left"/>
              <w:rPr/>
            </w:pPr>
            <w:r>
              <w:rPr/>
              <w:t> </w:t>
            </w:r>
          </w:p>
        </w:tc>
        <w:tc>
          <w:tcPr>
            <w:tcW w:w="1445" w:type="dxa"/>
            <w:gridSpan w:val="4"/>
            <w:tcBorders>
              <w:top w:val="single" w:sz="6" w:space="0" w:color="004876"/>
            </w:tcBorders>
            <w:tcMar>
              <w:top w:w="28" w:type="dxa"/>
            </w:tcMar>
            <w:vAlign w:val="center"/>
          </w:tcPr>
          <w:p>
            <w:pPr>
              <w:pStyle w:val="TableContents"/>
              <w:bidi w:val="0"/>
              <w:spacing w:before="0" w:after="283"/>
              <w:jc w:val="left"/>
              <w:rPr/>
            </w:pPr>
            <w:r>
              <w:rPr/>
              <w:t> </w:t>
            </w:r>
          </w:p>
        </w:tc>
        <w:tc>
          <w:tcPr>
            <w:tcW w:w="1115" w:type="dxa"/>
            <w:gridSpan w:val="4"/>
            <w:tcBorders>
              <w:top w:val="single" w:sz="6" w:space="0" w:color="004876"/>
            </w:tcBorders>
            <w:tcMar>
              <w:top w:w="28" w:type="dxa"/>
            </w:tcMar>
            <w:vAlign w:val="center"/>
          </w:tcPr>
          <w:p>
            <w:pPr>
              <w:pStyle w:val="TableContents"/>
              <w:bidi w:val="0"/>
              <w:spacing w:before="0" w:after="283"/>
              <w:jc w:val="left"/>
              <w:rPr/>
            </w:pPr>
            <w:r>
              <w:rPr/>
              <w:t> </w:t>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William C. Carstanjen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58"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442"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250</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9"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591"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4,500,000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5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404"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500</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4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9,000,000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1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5,763,331</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William E. Mudd</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58"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442"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125</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9"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591"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1,591,350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5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404"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250</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4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3,182,700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1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2,038,106</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Marcia A. Dall</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58"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442"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110</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9"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591"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1,045,000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5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404"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220</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4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2,090,000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1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1,338,374</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Bradley K. Blackwell</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58"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442"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100</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9"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591"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775,000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5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404"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200</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4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1,550,000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1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992,574</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Maureen Adams</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58"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442"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90</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9"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591"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596,756</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25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404"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180</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4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1,193,512</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1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615,101</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bl>
    <w:p>
      <w:pPr>
        <w:pStyle w:val="TextBody"/>
        <w:bidi w:val="0"/>
        <w:spacing w:before="360" w:after="0"/>
        <w:jc w:val="left"/>
        <w:rPr>
          <w:rFonts w:ascii="arial" w:hAnsi="arial"/>
          <w:b/>
          <w:color w:val="004876"/>
          <w:sz w:val="20"/>
        </w:rPr>
      </w:pPr>
      <w:bookmarkStart w:id="60" w:name="toc123994_47"/>
      <w:bookmarkStart w:id="61" w:name="txa123994_12"/>
      <w:bookmarkEnd w:id="60"/>
      <w:bookmarkEnd w:id="61"/>
      <w:r>
        <w:rPr>
          <w:rFonts w:ascii="arial" w:hAnsi="arial"/>
          <w:b/>
          <w:color w:val="004876"/>
          <w:sz w:val="20"/>
        </w:rPr>
        <w:t xml:space="preserve">Long-Term Incentives </w:t>
      </w:r>
    </w:p>
    <w:p>
      <w:pPr>
        <w:pStyle w:val="TextBody"/>
        <w:bidi w:val="0"/>
        <w:spacing w:before="120" w:after="0"/>
        <w:jc w:val="left"/>
        <w:rPr>
          <w:rFonts w:ascii="arial" w:hAnsi="arial"/>
          <w:sz w:val="20"/>
        </w:rPr>
      </w:pPr>
      <w:r>
        <w:rPr>
          <w:rFonts w:ascii="arial" w:hAnsi="arial"/>
          <w:sz w:val="20"/>
        </w:rPr>
        <w:t xml:space="preserve">The objective of the Company’s long-term incentive compensation program is to support the entrepreneurial mindset desired of management by the Board of Directors by providing an opportunity to earn significant equity in the Company for achieving significant performance improvements. </w:t>
      </w:r>
    </w:p>
    <w:p>
      <w:pPr>
        <w:pStyle w:val="TextBody"/>
        <w:bidi w:val="0"/>
        <w:spacing w:before="240" w:after="0"/>
        <w:jc w:val="left"/>
        <w:rPr>
          <w:rFonts w:ascii="arial" w:hAnsi="arial"/>
          <w:sz w:val="20"/>
        </w:rPr>
      </w:pPr>
      <w:r>
        <w:rPr>
          <w:rFonts w:ascii="arial" w:hAnsi="arial"/>
          <w:sz w:val="20"/>
        </w:rPr>
        <w:t xml:space="preserve">The Company maintains the ELTI, pursuant to which the NEOs may earn variable equity payouts based upon the Company achieving certain key performance metrics. While the purpose of the ELTI is to provide participants with a long-term incentive program that is designed to be market-competitive and provides long-term incentives on a regular, predictable, and annual basis, participation each year is at the discretion of the Committee. Eligible participants (as determined by the Committee) may be members of the Company’s senior executive team and/or such other executives and key contributors as the Committee may designate from time to time. As and to the extent determined by the Committee as part of the annual compensation planning process for participants, the CEO will participate in the ELTI at a rate determined by the Committee. No individual will have an automatic right to participate in the ELTI. Factors considered when making grants include the compensation practices within the peer group, potential succession planning considerations, the retentive element of the existing ELTI awards held by the potential participant and Company and individual performance. </w:t>
      </w:r>
    </w:p>
    <w:p>
      <w:pPr>
        <w:pStyle w:val="TextBody"/>
        <w:bidi w:val="0"/>
        <w:spacing w:before="240" w:after="0"/>
        <w:jc w:val="left"/>
        <w:rPr>
          <w:rFonts w:ascii="arial" w:hAnsi="arial"/>
          <w:sz w:val="20"/>
        </w:rPr>
      </w:pPr>
      <w:r>
        <w:rPr>
          <w:rFonts w:ascii="arial" w:hAnsi="arial"/>
          <w:sz w:val="20"/>
        </w:rPr>
        <w:t xml:space="preserve">The Committee and senior management monitor the Company’s equity grant practices to evaluate whether such policies comply with governing regulations and are consistent with good corporate practices. When making regular annual equity grants, the Committee’s practice is to approve them at its meeting in February of each year as part of the annual compensation review and after results for the preceding fiscal year become available. Because the Committee’s regular meeting schedule is determined in the prior fiscal year, the proximity of any awards to other significant corporate events is coincidental. In addition, the Committee may make grants at any time during the year it deems appropriate, including with respect to new hires or transitions. A summary of the 2025 terms and applicable award opportunities, granted by the Committee to the NEOs, is provided below. </w:t>
      </w:r>
    </w:p>
    <w:p>
      <w:pPr>
        <w:pStyle w:val="TextBody"/>
        <w:bidi w:val="0"/>
        <w:spacing w:before="240" w:after="0"/>
        <w:jc w:val="left"/>
        <w:rPr>
          <w:rFonts w:ascii="arial" w:hAnsi="arial"/>
          <w:sz w:val="20"/>
        </w:rPr>
      </w:pPr>
      <w:r>
        <w:rPr>
          <w:rFonts w:ascii="arial" w:hAnsi="arial"/>
          <w:sz w:val="20"/>
        </w:rPr>
        <w:t xml:space="preserve">During the beginning of 2025, the CEO recommended employees (other than with respect to himself) to the Committee for participation in the ELTI for 2025 and their respective specific levels of proposed participation. Awards granted to eligible employees under the ELTI may be in the form of RSUs, PSUs, or both. To pursue the key objective of linking executive compensation with Company performance, the Committee generally aims to deliver at least 50% of the grant value of the 2025 awards as PSUs. </w:t>
      </w:r>
    </w:p>
    <w:p>
      <w:pPr>
        <w:pStyle w:val="TextBody"/>
        <w:bidi w:val="0"/>
        <w:spacing w:before="240" w:after="0"/>
        <w:jc w:val="left"/>
        <w:rPr>
          <w:rFonts w:ascii="arial" w:hAnsi="arial"/>
          <w:sz w:val="20"/>
        </w:rPr>
      </w:pPr>
      <w:r>
        <w:rPr>
          <w:rFonts w:ascii="arial" w:hAnsi="arial"/>
          <w:sz w:val="20"/>
        </w:rPr>
        <w:t xml:space="preserve">The Committee approved the 2025 RSU awards and PSU awards (for the 36-month performance period of January 1, 2025 through December 31, 2027) on February 6, 2025. The 2025 awards are as follows. The Committee approved target LTI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36</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7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5" descr=""/>
                          <pic:cNvPicPr>
                            <a:picLocks noChangeAspect="1" noChangeArrowheads="1"/>
                          </pic:cNvPicPr>
                        </pic:nvPicPr>
                        <pic:blipFill>
                          <a:blip r:embed="rId76"/>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awards for the NEOs as follows: Mr. Carstanjen, $12,000,000; Mr. Mudd, $4,000,000; Ms. Dall, $2,300,000; and Mr. Blackwell, $1,700,000. In light of the existing retentive hold of her existing compensation arrangements and long-term succession planning considerations, Ms. Adams did not participate in the 2025 LTI program. Once the target LTI awards were established, the number of shares subject to the 2025 RSU awards and the 2025 PSU awards was determined based on the closing stock price as of February 6, 2025. The table below sets forth the number of shares subject to the RSUs and PSUs granted to each NEO, which were based on an allocation of approximately 50% RSUs and 50% PSUs. The table also reflects the grant date fair value of the RSUs and PSUs for accounting purposes. Because the accounting value for the PSUs is based on the Monte-Carlo simulation model using the stock price as of the PSU grant date of March 10, 2025, the grant date fair value of the PSUs for accounting purposes may differ from the target LTI award. </w:t>
      </w:r>
    </w:p>
    <w:p>
      <w:pPr>
        <w:pStyle w:val="TextBody"/>
        <w:bidi w:val="0"/>
        <w:spacing w:before="0" w:after="0"/>
        <w:jc w:val="left"/>
        <w:rPr/>
      </w:pPr>
      <w:r>
        <w:rPr/>
        <w:t> </w:t>
      </w:r>
    </w:p>
    <w:tbl>
      <w:tblPr>
        <w:tblW w:w="7910" w:type="dxa"/>
        <w:jc w:val="left"/>
        <w:tblInd w:w="0" w:type="dxa"/>
        <w:tblLayout w:type="fixed"/>
        <w:tblCellMar>
          <w:top w:w="0" w:type="dxa"/>
          <w:left w:w="0" w:type="dxa"/>
          <w:bottom w:w="0" w:type="dxa"/>
          <w:right w:w="0" w:type="dxa"/>
        </w:tblCellMar>
      </w:tblPr>
      <w:tblGrid>
        <w:gridCol w:w="1910"/>
        <w:gridCol w:w="120"/>
        <w:gridCol w:w="60"/>
        <w:gridCol w:w="605"/>
        <w:gridCol w:w="60"/>
        <w:gridCol w:w="120"/>
        <w:gridCol w:w="60"/>
        <w:gridCol w:w="875"/>
        <w:gridCol w:w="60"/>
        <w:gridCol w:w="120"/>
        <w:gridCol w:w="60"/>
        <w:gridCol w:w="605"/>
        <w:gridCol w:w="60"/>
        <w:gridCol w:w="120"/>
        <w:gridCol w:w="60"/>
        <w:gridCol w:w="875"/>
        <w:gridCol w:w="60"/>
        <w:gridCol w:w="120"/>
        <w:gridCol w:w="60"/>
        <w:gridCol w:w="605"/>
        <w:gridCol w:w="60"/>
        <w:gridCol w:w="120"/>
        <w:gridCol w:w="60"/>
        <w:gridCol w:w="980"/>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top w:val="single" w:sz="16" w:space="0" w:color="004876"/>
              <w:left w:val="single" w:sz="6" w:space="0" w:color="000000"/>
            </w:tcBorders>
            <w:shd w:fill="004876" w:val="clear"/>
            <w:tcMar>
              <w:top w:w="28" w:type="dxa"/>
              <w:left w:w="160" w:type="dxa"/>
            </w:tcMar>
            <w:vAlign w:val="center"/>
          </w:tcPr>
          <w:p>
            <w:pPr>
              <w:pStyle w:val="TableContents"/>
              <w:bidi w:val="0"/>
              <w:spacing w:before="0" w:after="283"/>
              <w:jc w:val="left"/>
              <w:rPr/>
            </w:pPr>
            <w:r>
              <w:rPr/>
              <w:t> </w:t>
            </w:r>
          </w:p>
        </w:tc>
        <w:tc>
          <w:tcPr>
            <w:tcW w:w="1960" w:type="dxa"/>
            <w:gridSpan w:val="8"/>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960" w:type="dxa"/>
            <w:gridSpan w:val="8"/>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2080" w:type="dxa"/>
            <w:gridSpan w:val="8"/>
            <w:tcBorders>
              <w:top w:val="single" w:sz="16" w:space="0" w:color="004876"/>
              <w:right w:val="single" w:sz="6" w:space="0" w:color="004876"/>
            </w:tcBorders>
            <w:shd w:fill="004876" w:val="clear"/>
            <w:tcMar>
              <w:top w:w="28" w:type="dxa"/>
              <w:right w:w="28" w:type="dxa"/>
            </w:tcMar>
            <w:vAlign w:val="center"/>
          </w:tcPr>
          <w:p>
            <w:pPr>
              <w:pStyle w:val="TableContents"/>
              <w:bidi w:val="0"/>
              <w:spacing w:before="0" w:after="283"/>
              <w:jc w:val="left"/>
              <w:rPr/>
            </w:pPr>
            <w:r>
              <w:rPr/>
              <w:t> </w:t>
            </w:r>
          </w:p>
        </w:tc>
      </w:tr>
      <w:tr>
        <w:trPr/>
        <w:tc>
          <w:tcPr>
            <w:tcW w:w="1910" w:type="dxa"/>
            <w:tcBorders>
              <w:left w:val="single" w:sz="6" w:space="0" w:color="000000"/>
              <w:bottom w:val="single" w:sz="16" w:space="0" w:color="004876"/>
            </w:tcBorders>
            <w:shd w:fill="004876" w:val="clear"/>
            <w:tcMar>
              <w:left w:w="160" w:type="dxa"/>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780" w:type="dxa"/>
            <w:gridSpan w:val="6"/>
            <w:tcBorders>
              <w:bottom w:val="single" w:sz="16" w:space="0" w:color="004876"/>
            </w:tcBorders>
            <w:shd w:fill="004876" w:val="clear"/>
            <w:tcMar>
              <w:bottom w:w="60" w:type="dxa"/>
            </w:tcMar>
            <w:vAlign w:val="center"/>
          </w:tcPr>
          <w:p>
            <w:pPr>
              <w:pStyle w:val="TableContents"/>
              <w:bidi w:val="0"/>
              <w:spacing w:before="0" w:after="283"/>
              <w:jc w:val="center"/>
              <w:rPr>
                <w:b/>
                <w:color w:val="FFFFFF"/>
              </w:rPr>
            </w:pPr>
            <w:r>
              <w:rPr>
                <w:b/>
                <w:color w:val="FFFFFF"/>
              </w:rPr>
              <w:t>RSUs</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780" w:type="dxa"/>
            <w:gridSpan w:val="6"/>
            <w:tcBorders>
              <w:bottom w:val="single" w:sz="16" w:space="0" w:color="004876"/>
            </w:tcBorders>
            <w:shd w:fill="004876" w:val="clear"/>
            <w:tcMar>
              <w:bottom w:w="60" w:type="dxa"/>
            </w:tcMar>
            <w:vAlign w:val="center"/>
          </w:tcPr>
          <w:p>
            <w:pPr>
              <w:pStyle w:val="TableContents"/>
              <w:bidi w:val="0"/>
              <w:spacing w:before="0" w:after="283"/>
              <w:jc w:val="center"/>
              <w:rPr>
                <w:b/>
                <w:color w:val="FFFFFF"/>
              </w:rPr>
            </w:pPr>
            <w:r>
              <w:rPr>
                <w:b/>
                <w:color w:val="FFFFFF"/>
              </w:rPr>
              <w:t>PSUs</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885" w:type="dxa"/>
            <w:gridSpan w:val="6"/>
            <w:tcBorders>
              <w:bottom w:val="single" w:sz="16" w:space="0" w:color="004876"/>
            </w:tcBorders>
            <w:shd w:fill="004876" w:val="clear"/>
            <w:tcMar>
              <w:bottom w:w="60" w:type="dxa"/>
            </w:tcMar>
            <w:vAlign w:val="center"/>
          </w:tcPr>
          <w:p>
            <w:pPr>
              <w:pStyle w:val="TableContents"/>
              <w:bidi w:val="0"/>
              <w:spacing w:before="0" w:after="283"/>
              <w:jc w:val="center"/>
              <w:rPr>
                <w:b/>
                <w:color w:val="FFFFFF"/>
              </w:rPr>
            </w:pPr>
            <w:r>
              <w:rPr>
                <w:b/>
                <w:color w:val="FFFFFF"/>
              </w:rPr>
              <w:t>Total</w:t>
            </w:r>
          </w:p>
        </w:tc>
        <w:tc>
          <w:tcPr>
            <w:tcW w:w="75" w:type="dxa"/>
            <w:tcBorders>
              <w:bottom w:val="single" w:sz="16" w:space="0" w:color="004876"/>
              <w:right w:val="single" w:sz="6" w:space="0" w:color="004876"/>
            </w:tcBorders>
            <w:shd w:fill="004876" w:val="clear"/>
            <w:tcMar>
              <w:bottom w:w="28" w:type="dxa"/>
              <w:right w:w="40" w:type="dxa"/>
            </w:tcMar>
            <w:vAlign w:val="center"/>
          </w:tcPr>
          <w:p>
            <w:pPr>
              <w:pStyle w:val="TableContents"/>
              <w:bidi w:val="0"/>
              <w:spacing w:before="0" w:after="283"/>
              <w:jc w:val="left"/>
              <w:rPr/>
            </w:pPr>
            <w:r>
              <w:rPr/>
              <w:t> </w:t>
            </w:r>
          </w:p>
        </w:tc>
      </w:tr>
      <w:tr>
        <w:trPr/>
        <w:tc>
          <w:tcPr>
            <w:tcW w:w="1910" w:type="dxa"/>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left"/>
              <w:rPr>
                <w:color w:val="FFFFFF"/>
              </w:rPr>
            </w:pPr>
            <w:r>
              <w:rPr>
                <w:color w:val="FFFFFF"/>
              </w:rPr>
              <w:t> </w:t>
            </w:r>
            <w:r>
              <w:rPr>
                <w:b/>
                <w:color w:val="FFFFFF"/>
              </w:rPr>
              <w:t>Executive Officer</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665" w:type="dxa"/>
            <w:gridSpan w:val="2"/>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center"/>
              <w:rPr>
                <w:b/>
                <w:color w:val="FFFFFF"/>
              </w:rPr>
            </w:pPr>
            <w:r>
              <w:rPr>
                <w:b/>
                <w:color w:val="FFFFFF"/>
              </w:rPr>
              <w:t>#</w:t>
            </w:r>
          </w:p>
        </w:tc>
        <w:tc>
          <w:tcPr>
            <w:tcW w:w="6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935" w:type="dxa"/>
            <w:gridSpan w:val="2"/>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center"/>
              <w:rPr>
                <w:b/>
                <w:color w:val="FFFFFF"/>
              </w:rPr>
            </w:pPr>
            <w:r>
              <w:rPr>
                <w:b/>
                <w:color w:val="FFFFFF"/>
              </w:rPr>
              <w:t xml:space="preserve">$(1) </w:t>
            </w:r>
          </w:p>
        </w:tc>
        <w:tc>
          <w:tcPr>
            <w:tcW w:w="6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665" w:type="dxa"/>
            <w:gridSpan w:val="2"/>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center"/>
              <w:rPr>
                <w:b/>
                <w:color w:val="FFFFFF"/>
              </w:rPr>
            </w:pPr>
            <w:r>
              <w:rPr>
                <w:b/>
                <w:color w:val="FFFFFF"/>
              </w:rPr>
              <w:t>#</w:t>
            </w:r>
          </w:p>
        </w:tc>
        <w:tc>
          <w:tcPr>
            <w:tcW w:w="6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935" w:type="dxa"/>
            <w:gridSpan w:val="2"/>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center"/>
              <w:rPr>
                <w:b/>
                <w:color w:val="FFFFFF"/>
              </w:rPr>
            </w:pPr>
            <w:r>
              <w:rPr>
                <w:b/>
                <w:color w:val="FFFFFF"/>
              </w:rPr>
              <w:t xml:space="preserve">$(2) </w:t>
            </w:r>
          </w:p>
        </w:tc>
        <w:tc>
          <w:tcPr>
            <w:tcW w:w="6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665" w:type="dxa"/>
            <w:gridSpan w:val="2"/>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center"/>
              <w:rPr>
                <w:b/>
                <w:color w:val="FFFFFF"/>
              </w:rPr>
            </w:pPr>
            <w:r>
              <w:rPr>
                <w:b/>
                <w:color w:val="FFFFFF"/>
              </w:rPr>
              <w:t>#</w:t>
            </w:r>
          </w:p>
        </w:tc>
        <w:tc>
          <w:tcPr>
            <w:tcW w:w="6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040" w:type="dxa"/>
            <w:gridSpan w:val="2"/>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center"/>
              <w:rPr>
                <w:b/>
                <w:color w:val="FFFFFF"/>
              </w:rPr>
            </w:pPr>
            <w:r>
              <w:rPr>
                <w:b/>
                <w:color w:val="FFFFFF"/>
              </w:rPr>
              <w:t>$(3)</w:t>
            </w:r>
          </w:p>
        </w:tc>
        <w:tc>
          <w:tcPr>
            <w:tcW w:w="75" w:type="dxa"/>
            <w:tcBorders>
              <w:top w:val="single" w:sz="16" w:space="0" w:color="004876"/>
              <w:bottom w:val="single" w:sz="16" w:space="0" w:color="004876"/>
              <w:right w:val="single" w:sz="6" w:space="0" w:color="004876"/>
            </w:tcBorders>
            <w:shd w:fill="004876" w:val="clear"/>
            <w:tcMar>
              <w:top w:w="28" w:type="dxa"/>
              <w:bottom w:w="28" w:type="dxa"/>
              <w:right w:w="40" w:type="dxa"/>
            </w:tcMar>
            <w:vAlign w:val="center"/>
          </w:tcPr>
          <w:p>
            <w:pPr>
              <w:pStyle w:val="TableContents"/>
              <w:bidi w:val="0"/>
              <w:spacing w:before="0" w:after="283"/>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William C. Carstanjen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48,675</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6,000,167</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48,674</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5,443,213</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97,349</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8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11,443,380</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William E. Mudd</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16,227</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2,000,302</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16,225</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1,814,442</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32,452</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8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3,814,744</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Marcia A. Dall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9,330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1,150,109</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9,330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1,043,374</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18,660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8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2,193,483</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Bradley K. Blackwell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6,897</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850,193</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6,896</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771,180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13,793</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8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1,621,373</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arial" w:hAnsi="arial"/>
                <w:sz w:val="18"/>
              </w:rPr>
            </w:pPr>
            <w:r>
              <w:rPr>
                <w:rFonts w:ascii="arial" w:hAnsi="arial"/>
                <w:sz w:val="18"/>
              </w:rPr>
              <w:t xml:space="preserve">The grant date fair value of the time-vesting RSUs was calculated utilizing the closing price of the Company’s Common Stock as of February 6, 2025 multiplied by the total number of time-vesting RSUs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(2)</w:t>
            </w:r>
          </w:p>
        </w:tc>
        <w:tc>
          <w:tcPr>
            <w:tcW w:w="9962" w:type="dxa"/>
            <w:tcBorders/>
            <w:vAlign w:val="center"/>
          </w:tcPr>
          <w:p>
            <w:pPr>
              <w:pStyle w:val="TableContents"/>
              <w:bidi w:val="0"/>
              <w:spacing w:before="0" w:after="0"/>
              <w:jc w:val="left"/>
              <w:rPr>
                <w:rFonts w:ascii="arial" w:hAnsi="arial"/>
                <w:sz w:val="18"/>
              </w:rPr>
            </w:pPr>
            <w:r>
              <w:rPr>
                <w:rFonts w:ascii="arial" w:hAnsi="arial"/>
                <w:sz w:val="18"/>
              </w:rPr>
              <w:t xml:space="preserve">The grant date fair value for the PSUs was calculated based on the probable achievement of the performance goals and a Monte-Carlo simulation model, which factors in the value of the relative TSR modifier (defined below) that is applied to the award before the share-based payment vests. The PSUs represent the target opportunity, and corresponding fair value, available to the grantees should the Company achieve the pre-determined performance metrics. Actual shares that vest pursuant to the PSUs may be more or less given the performance on the selected metrics discussed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left"/>
              <w:rPr>
                <w:rFonts w:ascii="arial" w:hAnsi="arial"/>
                <w:sz w:val="18"/>
              </w:rPr>
            </w:pPr>
            <w:r>
              <w:rPr>
                <w:rFonts w:ascii="arial" w:hAnsi="arial"/>
                <w:sz w:val="18"/>
              </w:rPr>
              <w:t xml:space="preserve">Peer group market analyses were performed by FW Cook for the NEO positions, and NEO long-term incentive levels were adjusted after considering those analyses, as deemed appropriate by the Committee. Consistent with the Company’s compensation philosophy, adjustments to the target long-term incentive levels were made to better position their long-term incentives compared to the peer group and based on individual and Company performance. </w:t>
            </w:r>
          </w:p>
        </w:tc>
      </w:tr>
    </w:tbl>
    <w:p>
      <w:pPr>
        <w:pStyle w:val="TextBody"/>
        <w:bidi w:val="0"/>
        <w:spacing w:before="240" w:after="0"/>
        <w:jc w:val="left"/>
        <w:rPr>
          <w:rFonts w:ascii="arial" w:hAnsi="arial"/>
          <w:sz w:val="20"/>
        </w:rPr>
      </w:pPr>
      <w:r>
        <w:rPr>
          <w:rFonts w:ascii="arial" w:hAnsi="arial"/>
          <w:sz w:val="20"/>
        </w:rPr>
        <w:t xml:space="preserve">With respect to the PSU awards in the table above, performance will be based on the following three performance measures during the 36-month period from January 1, 2025 through December 31, 2027 (the “Performance Period”):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1)</w:t>
            </w:r>
          </w:p>
        </w:tc>
        <w:tc>
          <w:tcPr>
            <w:tcW w:w="10033" w:type="dxa"/>
            <w:tcBorders/>
            <w:vAlign w:val="center"/>
          </w:tcPr>
          <w:p>
            <w:pPr>
              <w:pStyle w:val="TableContents"/>
              <w:bidi w:val="0"/>
              <w:spacing w:before="0" w:after="0"/>
              <w:jc w:val="left"/>
              <w:rPr>
                <w:rFonts w:ascii="arial" w:hAnsi="arial"/>
                <w:sz w:val="20"/>
              </w:rPr>
            </w:pPr>
            <w:r>
              <w:rPr>
                <w:rFonts w:ascii="arial" w:hAnsi="arial"/>
                <w:sz w:val="20"/>
                <w:u w:val="single"/>
              </w:rPr>
              <w:t>3-Year Cumulative Adjusted Earnings before Interest, Tax, Depreciation and Amortization (“Adjusted EBITDA”) (50% weight)</w:t>
            </w:r>
            <w:r>
              <w:rPr>
                <w:rFonts w:ascii="arial" w:hAnsi="arial"/>
                <w:sz w:val="20"/>
              </w:rPr>
              <w:t xml:space="preserve">. Adjusted EBITDA measured during the three-year period beginning as of the start of the Performance Period relative to the pre-established goals set for such measurement period, will be derived from the Company’s consolidated financial statements with any necessary adjustments similar to those described further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pPr>
            <w:r>
              <w:rPr/>
              <w:t>2)</w:t>
            </w:r>
          </w:p>
        </w:tc>
        <w:tc>
          <w:tcPr>
            <w:tcW w:w="10034" w:type="dxa"/>
            <w:tcBorders/>
            <w:vAlign w:val="center"/>
          </w:tcPr>
          <w:p>
            <w:pPr>
              <w:pStyle w:val="TableContents"/>
              <w:bidi w:val="0"/>
              <w:spacing w:before="0" w:after="0"/>
              <w:jc w:val="left"/>
              <w:rPr>
                <w:rFonts w:ascii="arial" w:hAnsi="arial"/>
                <w:sz w:val="20"/>
              </w:rPr>
            </w:pPr>
            <w:r>
              <w:rPr>
                <w:rFonts w:ascii="arial" w:hAnsi="arial"/>
                <w:sz w:val="20"/>
                <w:u w:val="single"/>
              </w:rPr>
              <w:t>3-Year Cumulative Cash Flow Metric (“Cash Flow Metric”) (50% weight)</w:t>
            </w:r>
            <w:r>
              <w:rPr>
                <w:rFonts w:ascii="arial" w:hAnsi="arial"/>
                <w:sz w:val="20"/>
              </w:rPr>
              <w:t xml:space="preserve">. Cumulative Cash Flow (i.e. the sum of the free cash flows from the annual periods ending December 31 of each of 2025, 2026, and 2027, respectively, where the Cash Flow Metric goals are set at the beginning of each of those three periods) will also be derived from the Company’s consolidated financial statements with any necessary adjustments similar to those described further below;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3)</w:t>
            </w:r>
          </w:p>
        </w:tc>
        <w:tc>
          <w:tcPr>
            <w:tcW w:w="10040" w:type="dxa"/>
            <w:tcBorders/>
            <w:vAlign w:val="center"/>
          </w:tcPr>
          <w:p>
            <w:pPr>
              <w:pStyle w:val="TableContents"/>
              <w:bidi w:val="0"/>
              <w:spacing w:before="0" w:after="0"/>
              <w:jc w:val="left"/>
              <w:rPr>
                <w:rFonts w:ascii="arial" w:hAnsi="arial"/>
                <w:sz w:val="20"/>
              </w:rPr>
            </w:pPr>
            <w:r>
              <w:rPr>
                <w:rFonts w:ascii="arial" w:hAnsi="arial"/>
                <w:sz w:val="20"/>
                <w:u w:val="single"/>
              </w:rPr>
              <w:t>Relative Total Shareholder Return Modifier</w:t>
            </w:r>
            <w:r>
              <w:rPr>
                <w:rFonts w:ascii="arial" w:hAnsi="arial"/>
                <w:sz w:val="20"/>
              </w:rPr>
              <w:t xml:space="preserve">. The Company’s TSR modifier will be determined by ranking the return on the Company’s shares against those of the companies in the Russell 1000 index, in each case, over the Performance Period. The PSU awards determined by the Adjusted EBITDA and Cash Flow Metric performance goals described above will then be adjusted based on the Company’s relative TSR performance, by increasing the PSU awards by 25% if the Company’s TSR is in the top quartile of the Russell 1000 index, decreasing the PSU awards by 25% if the Company’s TSR is in the bottom quartile of the Russell 1000 index, and providing no change to the PSU awards if the Company’s TSR is in the middle two quartiles. </w:t>
            </w:r>
          </w:p>
        </w:tc>
      </w:tr>
    </w:tbl>
    <w:p>
      <w:pPr>
        <w:pStyle w:val="TextBody"/>
        <w:bidi w:val="0"/>
        <w:spacing w:before="240" w:after="0"/>
        <w:jc w:val="left"/>
        <w:rPr>
          <w:rFonts w:ascii="arial" w:hAnsi="arial"/>
          <w:sz w:val="20"/>
        </w:rPr>
      </w:pPr>
      <w:r>
        <w:rPr>
          <w:rFonts w:ascii="arial" w:hAnsi="arial"/>
          <w:sz w:val="20"/>
        </w:rPr>
        <w:t xml:space="preserve">The maximum number of PSUs that can be earned for the Performance Period is 250% of target, with payout for each performance measure determined by a payout curve, as achievement that lies between two goals will be interpolated. At the end of the Performance Period, the Committee will review performance achieved on each pre-established performance measure. The Committee determined to measure the Adjusted EBITDA performance measure applicable to the 2025 PSUs over three years instead of over a two-year period like the 2024 PSUs in order to increase the long-term focus of the program.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7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6" descr=""/>
                          <pic:cNvPicPr>
                            <a:picLocks noChangeAspect="1" noChangeArrowheads="1"/>
                          </pic:cNvPicPr>
                        </pic:nvPicPr>
                        <pic:blipFill>
                          <a:blip r:embed="rId77"/>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37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With respect to the RSU awards, the RSUs vest in one third (1/3) increments on each of December 31, 2025, December 31, 2026, and December 31, 2027 respectively, subject to the executive’s continued employment through the applicable vesting date or as otherwise provided for in the underlying award agreement. The Committee elected to cash-settle the portion of the 2025 RSU awards vesting on December 31, 2025 for Mr. Carstanjen, Mr. Mudd, and Mr. Blackwell. The cash amounts paid to the participating NEOs with respect to the 2025 RSU awards vesting on December 31, 2025 were based upon the closing price of the Company’s Common Stock on December 31, 2025 ($113.78 per share). Mr. Carstanjen had elected to defer settlement of 50% of the portion of the 2025 RSU awards vesting on December 31, 2025 and Ms. Dall had elected to defer settlement of the entire portion of the 2025 RSU awards vesting on December 31, 2025, in each case pursuant to the Amended and Restated Churchill Downs Incorporated Equity Award Deferral Plan. </w:t>
      </w:r>
    </w:p>
    <w:p>
      <w:pPr>
        <w:pStyle w:val="TextBody"/>
        <w:bidi w:val="0"/>
        <w:spacing w:before="240" w:after="0"/>
        <w:jc w:val="left"/>
        <w:rPr>
          <w:rFonts w:ascii="arial" w:hAnsi="arial"/>
          <w:sz w:val="20"/>
        </w:rPr>
      </w:pPr>
      <w:r>
        <w:rPr>
          <w:rFonts w:ascii="arial" w:hAnsi="arial"/>
          <w:sz w:val="20"/>
        </w:rPr>
        <w:t xml:space="preserve">With respect to the performance period and related PSU awards under the ELTI for January 1, 2023 through December 31, 2025, the actual performance was certified by the Committee at its February 2026 meeting (with a TSR at 7%, in the top 65% of the Russell 2000 over the performance period) as set forth below: </w:t>
      </w:r>
    </w:p>
    <w:p>
      <w:pPr>
        <w:pStyle w:val="TextBody"/>
        <w:bidi w:val="0"/>
        <w:spacing w:before="0" w:after="0"/>
        <w:jc w:val="left"/>
        <w:rPr/>
      </w:pPr>
      <w:r>
        <w:rPr/>
        <w:t> </w:t>
      </w:r>
    </w:p>
    <w:tbl>
      <w:tblPr>
        <w:tblW w:w="10065" w:type="dxa"/>
        <w:jc w:val="left"/>
        <w:tblInd w:w="0" w:type="dxa"/>
        <w:tblLayout w:type="fixed"/>
        <w:tblCellMar>
          <w:top w:w="0" w:type="dxa"/>
          <w:left w:w="0" w:type="dxa"/>
          <w:bottom w:w="0" w:type="dxa"/>
          <w:right w:w="0" w:type="dxa"/>
        </w:tblCellMar>
      </w:tblPr>
      <w:tblGrid>
        <w:gridCol w:w="3275"/>
        <w:gridCol w:w="60"/>
        <w:gridCol w:w="125"/>
        <w:gridCol w:w="665"/>
        <w:gridCol w:w="60"/>
        <w:gridCol w:w="60"/>
        <w:gridCol w:w="169"/>
        <w:gridCol w:w="901"/>
        <w:gridCol w:w="60"/>
        <w:gridCol w:w="60"/>
        <w:gridCol w:w="125"/>
        <w:gridCol w:w="665"/>
        <w:gridCol w:w="60"/>
        <w:gridCol w:w="60"/>
        <w:gridCol w:w="135"/>
        <w:gridCol w:w="1130"/>
        <w:gridCol w:w="260"/>
        <w:gridCol w:w="60"/>
        <w:gridCol w:w="82"/>
        <w:gridCol w:w="688"/>
        <w:gridCol w:w="260"/>
        <w:gridCol w:w="60"/>
        <w:gridCol w:w="101"/>
        <w:gridCol w:w="669"/>
        <w:gridCol w:w="275"/>
      </w:tblGrid>
      <w:tr>
        <w:trPr/>
        <w:tc>
          <w:tcPr>
            <w:tcW w:w="3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275"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910"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190"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910"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585"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090"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105" w:type="dxa"/>
            <w:gridSpan w:val="4"/>
            <w:tcBorders>
              <w:top w:val="single" w:sz="16" w:space="0" w:color="004876"/>
              <w:right w:val="single" w:sz="6" w:space="0" w:color="004876"/>
            </w:tcBorders>
            <w:shd w:fill="004876" w:val="clear"/>
            <w:tcMar>
              <w:top w:w="28" w:type="dxa"/>
              <w:right w:w="28" w:type="dxa"/>
            </w:tcMar>
            <w:vAlign w:val="center"/>
          </w:tcPr>
          <w:p>
            <w:pPr>
              <w:pStyle w:val="TableContents"/>
              <w:bidi w:val="0"/>
              <w:spacing w:before="0" w:after="283"/>
              <w:jc w:val="left"/>
              <w:rPr/>
            </w:pPr>
            <w:r>
              <w:rPr/>
              <w:t> </w:t>
            </w:r>
          </w:p>
        </w:tc>
      </w:tr>
      <w:tr>
        <w:trPr/>
        <w:tc>
          <w:tcPr>
            <w:tcW w:w="3275" w:type="dxa"/>
            <w:tcBorders>
              <w:bottom w:val="single" w:sz="16" w:space="0" w:color="004876"/>
            </w:tcBorders>
            <w:shd w:fill="004876" w:val="clear"/>
            <w:tcMar>
              <w:bottom w:w="120" w:type="dxa"/>
            </w:tcMar>
            <w:vAlign w:val="center"/>
          </w:tcPr>
          <w:p>
            <w:pPr>
              <w:pStyle w:val="TableContents"/>
              <w:bidi w:val="0"/>
              <w:spacing w:before="0" w:after="283"/>
              <w:jc w:val="left"/>
              <w:rPr>
                <w:color w:val="FFFFFF"/>
              </w:rPr>
            </w:pPr>
            <w:r>
              <w:rPr>
                <w:color w:val="FFFFFF"/>
              </w:rPr>
              <w:t> </w:t>
            </w:r>
            <w:r>
              <w:rPr>
                <w:b/>
                <w:color w:val="FFFFFF"/>
              </w:rPr>
              <w:t>$ in Millions</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790"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Target</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070"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Maximum</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790"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Actual</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65"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 of Target</w:t>
            </w:r>
          </w:p>
        </w:tc>
        <w:tc>
          <w:tcPr>
            <w:tcW w:w="2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770" w:type="dxa"/>
            <w:gridSpan w:val="2"/>
            <w:tcBorders>
              <w:bottom w:val="single" w:sz="1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Projected</w:t>
            </w:r>
          </w:p>
          <w:p>
            <w:pPr>
              <w:pStyle w:val="TableContents"/>
              <w:bidi w:val="0"/>
              <w:spacing w:before="0" w:after="20"/>
              <w:jc w:val="center"/>
              <w:rPr>
                <w:rFonts w:ascii="arial" w:hAnsi="arial"/>
                <w:b/>
                <w:color w:val="FFFFFF"/>
                <w:sz w:val="16"/>
              </w:rPr>
            </w:pPr>
            <w:r>
              <w:rPr>
                <w:rFonts w:ascii="arial" w:hAnsi="arial"/>
                <w:b/>
                <w:color w:val="FFFFFF"/>
                <w:sz w:val="16"/>
              </w:rPr>
              <w:t>Payout</w:t>
            </w:r>
          </w:p>
        </w:tc>
        <w:tc>
          <w:tcPr>
            <w:tcW w:w="2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770" w:type="dxa"/>
            <w:gridSpan w:val="2"/>
            <w:tcBorders>
              <w:bottom w:val="single" w:sz="1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Weighted</w:t>
            </w:r>
          </w:p>
          <w:p>
            <w:pPr>
              <w:pStyle w:val="TableContents"/>
              <w:bidi w:val="0"/>
              <w:spacing w:before="0" w:after="20"/>
              <w:jc w:val="center"/>
              <w:rPr>
                <w:rFonts w:ascii="arial" w:hAnsi="arial"/>
                <w:b/>
                <w:color w:val="FFFFFF"/>
                <w:sz w:val="16"/>
              </w:rPr>
            </w:pPr>
            <w:r>
              <w:rPr>
                <w:rFonts w:ascii="arial" w:hAnsi="arial"/>
                <w:b/>
                <w:color w:val="FFFFFF"/>
                <w:sz w:val="16"/>
              </w:rPr>
              <w:t>Payout</w:t>
            </w:r>
          </w:p>
        </w:tc>
        <w:tc>
          <w:tcPr>
            <w:tcW w:w="275" w:type="dxa"/>
            <w:tcBorders>
              <w:bottom w:val="single" w:sz="16" w:space="0" w:color="004876"/>
              <w:right w:val="single" w:sz="6" w:space="0" w:color="004876"/>
            </w:tcBorders>
            <w:shd w:fill="004876" w:val="clear"/>
            <w:tcMar>
              <w:bottom w:w="28" w:type="dxa"/>
              <w:right w:w="40" w:type="dxa"/>
            </w:tcMar>
            <w:vAlign w:val="center"/>
          </w:tcPr>
          <w:p>
            <w:pPr>
              <w:pStyle w:val="TableContents"/>
              <w:bidi w:val="0"/>
              <w:spacing w:before="0" w:after="283"/>
              <w:jc w:val="left"/>
              <w:rPr/>
            </w:pPr>
            <w:r>
              <w:rPr/>
              <w:t> </w:t>
            </w:r>
          </w:p>
        </w:tc>
      </w:tr>
      <w:tr>
        <w:trPr/>
        <w:tc>
          <w:tcPr>
            <w:tcW w:w="3275" w:type="dxa"/>
            <w:tcBorders/>
            <w:shd w:fill="F4F0DC" w:val="clear"/>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9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2-year Cumulative Adjusted EBITDA:</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66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2,165.0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69"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901"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2,598.0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66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2,183.1</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13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100.8</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8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102.8</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69"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51.4</w:t>
            </w:r>
          </w:p>
        </w:tc>
        <w:tc>
          <w:tcPr>
            <w:tcW w:w="27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r>
      <w:tr>
        <w:trPr/>
        <w:tc>
          <w:tcPr>
            <w:tcW w:w="3275" w:type="dxa"/>
            <w:tcBorders/>
            <w:shd w:fill="F4F0DC" w:val="clear"/>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9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3-year Cumulative Cash Flow Metric:</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66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1,621.0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69"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901"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1,945.2</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66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1,903.8</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13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117.4</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8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174.4</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69"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87.2</w:t>
            </w:r>
          </w:p>
        </w:tc>
        <w:tc>
          <w:tcPr>
            <w:tcW w:w="27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r>
      <w:tr>
        <w:trPr/>
        <w:tc>
          <w:tcPr>
            <w:tcW w:w="3275" w:type="dxa"/>
            <w:tcBorders/>
            <w:shd w:fill="F4F0DC" w:val="clear"/>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9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Total Weighted Payout:</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28" w:type="dxa"/>
            </w:tcMar>
            <w:vAlign w:val="center"/>
          </w:tcPr>
          <w:p>
            <w:pPr>
              <w:pStyle w:val="TableContents"/>
              <w:bidi w:val="0"/>
              <w:spacing w:before="0" w:after="283"/>
              <w:jc w:val="left"/>
              <w:rPr/>
            </w:pPr>
            <w:r>
              <w:rPr/>
              <w:t> </w:t>
            </w:r>
          </w:p>
        </w:tc>
        <w:tc>
          <w:tcPr>
            <w:tcW w:w="66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69"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01"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138.6%</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28" w:type="dxa"/>
            </w:tcMar>
            <w:vAlign w:val="center"/>
          </w:tcPr>
          <w:p>
            <w:pPr>
              <w:pStyle w:val="TableContents"/>
              <w:bidi w:val="0"/>
              <w:spacing w:before="0" w:after="283"/>
              <w:jc w:val="left"/>
              <w:rPr/>
            </w:pPr>
            <w:r>
              <w:rPr/>
              <w:t> </w:t>
            </w:r>
          </w:p>
        </w:tc>
        <w:tc>
          <w:tcPr>
            <w:tcW w:w="66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5"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2" w:type="dxa"/>
            <w:tcBorders>
              <w:bottom w:val="single" w:sz="6" w:space="0" w:color="B99C16"/>
            </w:tcBorders>
            <w:tcMar>
              <w:bottom w:w="28" w:type="dxa"/>
            </w:tcMar>
            <w:vAlign w:val="center"/>
          </w:tcPr>
          <w:p>
            <w:pPr>
              <w:pStyle w:val="TableContents"/>
              <w:bidi w:val="0"/>
              <w:spacing w:before="0" w:after="283"/>
              <w:jc w:val="left"/>
              <w:rPr/>
            </w:pPr>
            <w:r>
              <w:rPr/>
              <w:t> </w:t>
            </w:r>
          </w:p>
        </w:tc>
        <w:tc>
          <w:tcPr>
            <w:tcW w:w="688"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28" w:type="dxa"/>
            </w:tcMar>
            <w:vAlign w:val="center"/>
          </w:tcPr>
          <w:p>
            <w:pPr>
              <w:pStyle w:val="TableContents"/>
              <w:bidi w:val="0"/>
              <w:spacing w:before="0" w:after="283"/>
              <w:jc w:val="left"/>
              <w:rPr/>
            </w:pPr>
            <w:r>
              <w:rPr/>
              <w:t> </w:t>
            </w:r>
          </w:p>
        </w:tc>
        <w:tc>
          <w:tcPr>
            <w:tcW w:w="669" w:type="dxa"/>
            <w:tcBorders>
              <w:bottom w:val="single" w:sz="6" w:space="0" w:color="B99C16"/>
            </w:tcBorders>
            <w:tcMar>
              <w:bottom w:w="28" w:type="dxa"/>
            </w:tcMar>
            <w:vAlign w:val="center"/>
          </w:tcPr>
          <w:p>
            <w:pPr>
              <w:pStyle w:val="TableContents"/>
              <w:bidi w:val="0"/>
              <w:spacing w:before="0" w:after="283"/>
              <w:jc w:val="left"/>
              <w:rPr/>
            </w:pPr>
            <w:r>
              <w:rPr/>
              <w:t> </w:t>
            </w:r>
          </w:p>
        </w:tc>
        <w:tc>
          <w:tcPr>
            <w:tcW w:w="2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3275" w:type="dxa"/>
            <w:tcBorders/>
            <w:shd w:fill="F4F0DC" w:val="clear"/>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9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TSR Modifier:</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28" w:type="dxa"/>
            </w:tcMar>
            <w:vAlign w:val="center"/>
          </w:tcPr>
          <w:p>
            <w:pPr>
              <w:pStyle w:val="TableContents"/>
              <w:bidi w:val="0"/>
              <w:spacing w:before="0" w:after="283"/>
              <w:jc w:val="left"/>
              <w:rPr/>
            </w:pPr>
            <w:r>
              <w:rPr/>
              <w:t> </w:t>
            </w:r>
          </w:p>
        </w:tc>
        <w:tc>
          <w:tcPr>
            <w:tcW w:w="66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69"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01"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100%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28" w:type="dxa"/>
            </w:tcMar>
            <w:vAlign w:val="center"/>
          </w:tcPr>
          <w:p>
            <w:pPr>
              <w:pStyle w:val="TableContents"/>
              <w:bidi w:val="0"/>
              <w:spacing w:before="0" w:after="283"/>
              <w:jc w:val="left"/>
              <w:rPr/>
            </w:pPr>
            <w:r>
              <w:rPr/>
              <w:t> </w:t>
            </w:r>
          </w:p>
        </w:tc>
        <w:tc>
          <w:tcPr>
            <w:tcW w:w="66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5"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2" w:type="dxa"/>
            <w:tcBorders>
              <w:bottom w:val="single" w:sz="6" w:space="0" w:color="B99C16"/>
            </w:tcBorders>
            <w:tcMar>
              <w:bottom w:w="28" w:type="dxa"/>
            </w:tcMar>
            <w:vAlign w:val="center"/>
          </w:tcPr>
          <w:p>
            <w:pPr>
              <w:pStyle w:val="TableContents"/>
              <w:bidi w:val="0"/>
              <w:spacing w:before="0" w:after="283"/>
              <w:jc w:val="left"/>
              <w:rPr/>
            </w:pPr>
            <w:r>
              <w:rPr/>
              <w:t> </w:t>
            </w:r>
          </w:p>
        </w:tc>
        <w:tc>
          <w:tcPr>
            <w:tcW w:w="688" w:type="dxa"/>
            <w:tcBorders>
              <w:bottom w:val="single" w:sz="6" w:space="0" w:color="B99C16"/>
            </w:tcBorders>
            <w:tcMar>
              <w:bottom w:w="28" w:type="dxa"/>
            </w:tcMar>
            <w:vAlign w:val="center"/>
          </w:tcPr>
          <w:p>
            <w:pPr>
              <w:pStyle w:val="TableContents"/>
              <w:bidi w:val="0"/>
              <w:spacing w:before="0" w:after="283"/>
              <w:jc w:val="left"/>
              <w:rPr/>
            </w:pPr>
            <w:r>
              <w:rPr/>
              <w:t> </w:t>
            </w:r>
          </w:p>
        </w:tc>
        <w:tc>
          <w:tcPr>
            <w:tcW w:w="2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28" w:type="dxa"/>
            </w:tcMar>
            <w:vAlign w:val="center"/>
          </w:tcPr>
          <w:p>
            <w:pPr>
              <w:pStyle w:val="TableContents"/>
              <w:bidi w:val="0"/>
              <w:spacing w:before="0" w:after="283"/>
              <w:jc w:val="left"/>
              <w:rPr/>
            </w:pPr>
            <w:r>
              <w:rPr/>
              <w:t> </w:t>
            </w:r>
          </w:p>
        </w:tc>
        <w:tc>
          <w:tcPr>
            <w:tcW w:w="669" w:type="dxa"/>
            <w:tcBorders>
              <w:bottom w:val="single" w:sz="6" w:space="0" w:color="B99C16"/>
            </w:tcBorders>
            <w:tcMar>
              <w:bottom w:w="28" w:type="dxa"/>
            </w:tcMar>
            <w:vAlign w:val="center"/>
          </w:tcPr>
          <w:p>
            <w:pPr>
              <w:pStyle w:val="TableContents"/>
              <w:bidi w:val="0"/>
              <w:spacing w:before="0" w:after="283"/>
              <w:jc w:val="left"/>
              <w:rPr/>
            </w:pPr>
            <w:r>
              <w:rPr/>
              <w:t> </w:t>
            </w:r>
          </w:p>
        </w:tc>
        <w:tc>
          <w:tcPr>
            <w:tcW w:w="2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3275" w:type="dxa"/>
            <w:tcBorders/>
            <w:shd w:fill="F4F0DC" w:val="clear"/>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9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8" w:space="0" w:color="B99C16"/>
            </w:tcBorders>
            <w:shd w:fill="F4F0DC" w:val="clear"/>
            <w:tcMar>
              <w:bottom w:w="120" w:type="dxa"/>
            </w:tcMar>
            <w:vAlign w:val="center"/>
          </w:tcPr>
          <w:p>
            <w:pPr>
              <w:pStyle w:val="TableContents"/>
              <w:bidi w:val="0"/>
              <w:spacing w:lineRule="atLeast" w:line="320" w:before="0" w:after="0"/>
              <w:jc w:val="left"/>
              <w:rPr>
                <w:rFonts w:ascii="arial" w:hAnsi="arial"/>
                <w:b/>
                <w:color w:val="004876"/>
                <w:sz w:val="20"/>
              </w:rPr>
            </w:pPr>
            <w:r>
              <w:rPr>
                <w:rFonts w:ascii="arial" w:hAnsi="arial"/>
                <w:b/>
                <w:color w:val="004876"/>
                <w:sz w:val="20"/>
              </w:rPr>
              <w:t>Target Multiplier:</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5" w:type="dxa"/>
            <w:tcBorders>
              <w:bottom w:val="single" w:sz="8" w:space="0" w:color="B99C16"/>
            </w:tcBorders>
            <w:tcMar>
              <w:bottom w:w="28" w:type="dxa"/>
            </w:tcMar>
            <w:vAlign w:val="center"/>
          </w:tcPr>
          <w:p>
            <w:pPr>
              <w:pStyle w:val="TableContents"/>
              <w:bidi w:val="0"/>
              <w:spacing w:before="0" w:after="283"/>
              <w:jc w:val="left"/>
              <w:rPr/>
            </w:pPr>
            <w:r>
              <w:rPr/>
              <w:t> </w:t>
            </w:r>
          </w:p>
        </w:tc>
        <w:tc>
          <w:tcPr>
            <w:tcW w:w="665"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69" w:type="dxa"/>
            <w:tcBorders>
              <w:bottom w:val="single" w:sz="8" w:space="0" w:color="B99C16"/>
            </w:tcBorders>
            <w:tcMar>
              <w:bottom w:w="120" w:type="dxa"/>
            </w:tcMar>
            <w:vAlign w:val="center"/>
          </w:tcPr>
          <w:p>
            <w:pPr>
              <w:pStyle w:val="TableContents"/>
              <w:bidi w:val="0"/>
              <w:spacing w:lineRule="atLeast" w:line="320" w:before="0" w:after="0"/>
              <w:jc w:val="left"/>
              <w:rPr/>
            </w:pPr>
            <w:r>
              <w:rPr/>
              <w:t> </w:t>
            </w:r>
          </w:p>
        </w:tc>
        <w:tc>
          <w:tcPr>
            <w:tcW w:w="901" w:type="dxa"/>
            <w:tcBorders>
              <w:bottom w:val="single" w:sz="8"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138.6%</w:t>
            </w:r>
          </w:p>
        </w:tc>
        <w:tc>
          <w:tcPr>
            <w:tcW w:w="60" w:type="dxa"/>
            <w:tcBorders>
              <w:bottom w:val="single" w:sz="8"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5" w:type="dxa"/>
            <w:tcBorders>
              <w:bottom w:val="single" w:sz="8" w:space="0" w:color="B99C16"/>
            </w:tcBorders>
            <w:tcMar>
              <w:bottom w:w="28" w:type="dxa"/>
            </w:tcMar>
            <w:vAlign w:val="center"/>
          </w:tcPr>
          <w:p>
            <w:pPr>
              <w:pStyle w:val="TableContents"/>
              <w:bidi w:val="0"/>
              <w:spacing w:before="0" w:after="283"/>
              <w:jc w:val="left"/>
              <w:rPr/>
            </w:pPr>
            <w:r>
              <w:rPr/>
              <w:t> </w:t>
            </w:r>
          </w:p>
        </w:tc>
        <w:tc>
          <w:tcPr>
            <w:tcW w:w="665"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35" w:type="dxa"/>
            <w:tcBorders>
              <w:bottom w:val="single" w:sz="8" w:space="0" w:color="B99C16"/>
            </w:tcBorders>
            <w:tcMar>
              <w:bottom w:w="28" w:type="dxa"/>
            </w:tcMar>
            <w:vAlign w:val="center"/>
          </w:tcPr>
          <w:p>
            <w:pPr>
              <w:pStyle w:val="TableContents"/>
              <w:bidi w:val="0"/>
              <w:spacing w:before="0" w:after="283"/>
              <w:jc w:val="left"/>
              <w:rPr/>
            </w:pPr>
            <w:r>
              <w:rPr/>
              <w:t> </w:t>
            </w:r>
          </w:p>
        </w:tc>
        <w:tc>
          <w:tcPr>
            <w:tcW w:w="1130" w:type="dxa"/>
            <w:tcBorders>
              <w:bottom w:val="single" w:sz="8" w:space="0" w:color="B99C16"/>
            </w:tcBorders>
            <w:tcMar>
              <w:bottom w:w="28" w:type="dxa"/>
            </w:tcMar>
            <w:vAlign w:val="center"/>
          </w:tcPr>
          <w:p>
            <w:pPr>
              <w:pStyle w:val="TableContents"/>
              <w:bidi w:val="0"/>
              <w:spacing w:before="0" w:after="283"/>
              <w:jc w:val="left"/>
              <w:rPr/>
            </w:pPr>
            <w:r>
              <w:rPr/>
              <w:t> </w:t>
            </w:r>
          </w:p>
        </w:tc>
        <w:tc>
          <w:tcPr>
            <w:tcW w:w="2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2" w:type="dxa"/>
            <w:tcBorders>
              <w:bottom w:val="single" w:sz="8" w:space="0" w:color="B99C16"/>
            </w:tcBorders>
            <w:tcMar>
              <w:bottom w:w="28" w:type="dxa"/>
            </w:tcMar>
            <w:vAlign w:val="center"/>
          </w:tcPr>
          <w:p>
            <w:pPr>
              <w:pStyle w:val="TableContents"/>
              <w:bidi w:val="0"/>
              <w:spacing w:before="0" w:after="283"/>
              <w:jc w:val="left"/>
              <w:rPr/>
            </w:pPr>
            <w:r>
              <w:rPr/>
              <w:t> </w:t>
            </w:r>
          </w:p>
        </w:tc>
        <w:tc>
          <w:tcPr>
            <w:tcW w:w="688" w:type="dxa"/>
            <w:tcBorders>
              <w:bottom w:val="single" w:sz="8" w:space="0" w:color="B99C16"/>
            </w:tcBorders>
            <w:tcMar>
              <w:bottom w:w="28" w:type="dxa"/>
            </w:tcMar>
            <w:vAlign w:val="center"/>
          </w:tcPr>
          <w:p>
            <w:pPr>
              <w:pStyle w:val="TableContents"/>
              <w:bidi w:val="0"/>
              <w:spacing w:before="0" w:after="283"/>
              <w:jc w:val="left"/>
              <w:rPr/>
            </w:pPr>
            <w:r>
              <w:rPr/>
              <w:t> </w:t>
            </w:r>
          </w:p>
        </w:tc>
        <w:tc>
          <w:tcPr>
            <w:tcW w:w="2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01" w:type="dxa"/>
            <w:tcBorders>
              <w:bottom w:val="single" w:sz="8" w:space="0" w:color="B99C16"/>
            </w:tcBorders>
            <w:tcMar>
              <w:bottom w:w="28" w:type="dxa"/>
            </w:tcMar>
            <w:vAlign w:val="center"/>
          </w:tcPr>
          <w:p>
            <w:pPr>
              <w:pStyle w:val="TableContents"/>
              <w:bidi w:val="0"/>
              <w:spacing w:before="0" w:after="283"/>
              <w:jc w:val="left"/>
              <w:rPr/>
            </w:pPr>
            <w:r>
              <w:rPr/>
              <w:t> </w:t>
            </w:r>
          </w:p>
        </w:tc>
        <w:tc>
          <w:tcPr>
            <w:tcW w:w="669" w:type="dxa"/>
            <w:tcBorders>
              <w:bottom w:val="single" w:sz="8" w:space="0" w:color="B99C16"/>
            </w:tcBorders>
            <w:tcMar>
              <w:bottom w:w="28" w:type="dxa"/>
            </w:tcMar>
            <w:vAlign w:val="center"/>
          </w:tcPr>
          <w:p>
            <w:pPr>
              <w:pStyle w:val="TableContents"/>
              <w:bidi w:val="0"/>
              <w:spacing w:before="0" w:after="283"/>
              <w:jc w:val="left"/>
              <w:rPr/>
            </w:pPr>
            <w:r>
              <w:rPr/>
              <w:t> </w:t>
            </w:r>
          </w:p>
        </w:tc>
        <w:tc>
          <w:tcPr>
            <w:tcW w:w="275" w:type="dxa"/>
            <w:tcBorders>
              <w:bottom w:val="single" w:sz="8" w:space="0" w:color="B99C16"/>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arial" w:hAnsi="arial"/>
                <w:sz w:val="20"/>
              </w:rPr>
            </w:pPr>
            <w:r>
              <w:rPr>
                <w:rFonts w:ascii="arial" w:hAnsi="arial"/>
                <w:sz w:val="20"/>
              </w:rPr>
              <w:t xml:space="preserve">Adjusted EBITDA—as defined in Item 7. Management’s Discussion and Analysis of Financial Condition and Results of Operations in the Form 10-K for the fiscal year ended December 31, 2025.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5270"/>
        <w:gridCol w:w="120"/>
        <w:gridCol w:w="125"/>
        <w:gridCol w:w="665"/>
        <w:gridCol w:w="60"/>
        <w:gridCol w:w="120"/>
        <w:gridCol w:w="125"/>
        <w:gridCol w:w="665"/>
        <w:gridCol w:w="75"/>
      </w:tblGrid>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70"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970"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985" w:type="dxa"/>
            <w:gridSpan w:val="4"/>
            <w:tcBorders>
              <w:top w:val="single" w:sz="16" w:space="0" w:color="004876"/>
              <w:right w:val="single" w:sz="6" w:space="0" w:color="004876"/>
            </w:tcBorders>
            <w:shd w:fill="004876" w:val="clear"/>
            <w:tcMar>
              <w:top w:w="28" w:type="dxa"/>
              <w:right w:w="28" w:type="dxa"/>
            </w:tcMar>
            <w:vAlign w:val="center"/>
          </w:tcPr>
          <w:p>
            <w:pPr>
              <w:pStyle w:val="TableContents"/>
              <w:bidi w:val="0"/>
              <w:spacing w:before="0" w:after="283"/>
              <w:jc w:val="left"/>
              <w:rPr/>
            </w:pPr>
            <w:r>
              <w:rPr/>
              <w:t> </w:t>
            </w:r>
          </w:p>
        </w:tc>
      </w:tr>
      <w:tr>
        <w:trPr/>
        <w:tc>
          <w:tcPr>
            <w:tcW w:w="527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790"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2023</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790"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2024</w:t>
            </w:r>
          </w:p>
        </w:tc>
        <w:tc>
          <w:tcPr>
            <w:tcW w:w="75" w:type="dxa"/>
            <w:tcBorders>
              <w:bottom w:val="single" w:sz="16" w:space="0" w:color="004876"/>
              <w:right w:val="single" w:sz="6" w:space="0" w:color="004876"/>
            </w:tcBorders>
            <w:shd w:fill="004876" w:val="clear"/>
            <w:tcMar>
              <w:bottom w:w="28" w:type="dxa"/>
              <w:right w:w="40" w:type="dxa"/>
            </w:tcMar>
            <w:vAlign w:val="center"/>
          </w:tcPr>
          <w:p>
            <w:pPr>
              <w:pStyle w:val="TableContents"/>
              <w:bidi w:val="0"/>
              <w:spacing w:before="0" w:after="283"/>
              <w:jc w:val="left"/>
              <w:rPr/>
            </w:pPr>
            <w:r>
              <w:rPr/>
              <w:t> </w:t>
            </w:r>
          </w:p>
        </w:tc>
      </w:tr>
      <w:tr>
        <w:trPr/>
        <w:tc>
          <w:tcPr>
            <w:tcW w:w="5270" w:type="dxa"/>
            <w:tcBorders/>
            <w:shd w:fill="F4F0DC" w:val="clear"/>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985" w:type="dxa"/>
            <w:gridSpan w:val="4"/>
            <w:tcBorders/>
            <w:vAlign w:val="center"/>
          </w:tcPr>
          <w:p>
            <w:pPr>
              <w:pStyle w:val="TableContents"/>
              <w:bidi w:val="0"/>
              <w:spacing w:before="0" w:after="283"/>
              <w:jc w:val="left"/>
              <w:rPr>
                <w:sz w:val="4"/>
                <w:szCs w:val="4"/>
              </w:rPr>
            </w:pPr>
            <w:r>
              <w:rPr>
                <w:sz w:val="4"/>
                <w:szCs w:val="4"/>
              </w:rPr>
            </w:r>
          </w:p>
        </w:tc>
      </w:tr>
      <w:tr>
        <w:trPr/>
        <w:tc>
          <w:tcPr>
            <w:tcW w:w="527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Adjusted EBITDA for Compensation Purposes ($ in millions)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66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1,023.9</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66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1,159.2</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arial" w:hAnsi="arial"/>
                <w:sz w:val="20"/>
              </w:rPr>
            </w:pPr>
            <w:r>
              <w:rPr>
                <w:rFonts w:ascii="arial" w:hAnsi="arial"/>
                <w:sz w:val="20"/>
              </w:rPr>
              <w:t xml:space="preserve">Cash Flow Metric—Our cash flow metric is defined as Cash Flows from Operating Activities and Discontinued Operations in Item 7. Management’s Discussion and Analysis of Financial Condition and Results of Operations in the Form 10-K for the fiscal year ended December 31, 2025, not including the impact from the change in restricted cash, plus distributions of capital from equity investments less capital maintenance expenditures. </w:t>
            </w:r>
          </w:p>
        </w:tc>
      </w:tr>
    </w:tbl>
    <w:p>
      <w:pPr>
        <w:pStyle w:val="TextBody"/>
        <w:bidi w:val="0"/>
        <w:spacing w:before="0" w:after="0"/>
        <w:jc w:val="left"/>
        <w:rPr/>
      </w:pPr>
      <w:r>
        <w:rPr/>
        <w:t> </w:t>
      </w:r>
    </w:p>
    <w:tbl>
      <w:tblPr>
        <w:tblW w:w="6875" w:type="dxa"/>
        <w:jc w:val="left"/>
        <w:tblInd w:w="0" w:type="dxa"/>
        <w:tblLayout w:type="fixed"/>
        <w:tblCellMar>
          <w:top w:w="0" w:type="dxa"/>
          <w:left w:w="0" w:type="dxa"/>
          <w:bottom w:w="0" w:type="dxa"/>
          <w:right w:w="0" w:type="dxa"/>
        </w:tblCellMar>
      </w:tblPr>
      <w:tblGrid>
        <w:gridCol w:w="4160"/>
        <w:gridCol w:w="120"/>
        <w:gridCol w:w="125"/>
        <w:gridCol w:w="500"/>
        <w:gridCol w:w="305"/>
        <w:gridCol w:w="60"/>
        <w:gridCol w:w="125"/>
        <w:gridCol w:w="500"/>
        <w:gridCol w:w="140"/>
        <w:gridCol w:w="60"/>
        <w:gridCol w:w="125"/>
        <w:gridCol w:w="500"/>
        <w:gridCol w:w="155"/>
      </w:tblGrid>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050"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825"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840" w:type="dxa"/>
            <w:gridSpan w:val="4"/>
            <w:tcBorders>
              <w:top w:val="single" w:sz="16" w:space="0" w:color="004876"/>
              <w:right w:val="single" w:sz="6" w:space="0" w:color="004876"/>
            </w:tcBorders>
            <w:shd w:fill="004876" w:val="clear"/>
            <w:tcMar>
              <w:top w:w="28" w:type="dxa"/>
              <w:right w:w="28" w:type="dxa"/>
            </w:tcMar>
            <w:vAlign w:val="center"/>
          </w:tcPr>
          <w:p>
            <w:pPr>
              <w:pStyle w:val="TableContents"/>
              <w:bidi w:val="0"/>
              <w:spacing w:before="0" w:after="283"/>
              <w:jc w:val="left"/>
              <w:rPr/>
            </w:pPr>
            <w:r>
              <w:rPr/>
              <w:t> </w:t>
            </w:r>
          </w:p>
        </w:tc>
      </w:tr>
      <w:tr>
        <w:trPr/>
        <w:tc>
          <w:tcPr>
            <w:tcW w:w="4160" w:type="dxa"/>
            <w:tcBorders>
              <w:bottom w:val="single" w:sz="16" w:space="0" w:color="004876"/>
            </w:tcBorders>
            <w:shd w:fill="004876" w:val="clear"/>
            <w:tcMar>
              <w:bottom w:w="120" w:type="dxa"/>
            </w:tcMar>
            <w:vAlign w:val="center"/>
          </w:tcPr>
          <w:p>
            <w:pPr>
              <w:pStyle w:val="TableContents"/>
              <w:bidi w:val="0"/>
              <w:spacing w:before="0" w:after="283"/>
              <w:jc w:val="left"/>
              <w:rPr>
                <w:color w:val="FFFFFF"/>
              </w:rPr>
            </w:pPr>
            <w:r>
              <w:rPr>
                <w:color w:val="FFFFFF"/>
              </w:rPr>
              <w:t> </w:t>
            </w:r>
            <w:r>
              <w:rPr>
                <w:b/>
                <w:color w:val="FFFFFF"/>
              </w:rPr>
              <w:t>$ in millions</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25"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2023</w:t>
            </w:r>
          </w:p>
        </w:tc>
        <w:tc>
          <w:tcPr>
            <w:tcW w:w="305"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25"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2024</w:t>
            </w:r>
          </w:p>
        </w:tc>
        <w:tc>
          <w:tcPr>
            <w:tcW w:w="14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25"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2025</w:t>
            </w:r>
          </w:p>
        </w:tc>
        <w:tc>
          <w:tcPr>
            <w:tcW w:w="155" w:type="dxa"/>
            <w:tcBorders>
              <w:bottom w:val="single" w:sz="16" w:space="0" w:color="004876"/>
              <w:right w:val="single" w:sz="6" w:space="0" w:color="004876"/>
            </w:tcBorders>
            <w:shd w:fill="004876" w:val="clear"/>
            <w:tcMar>
              <w:bottom w:w="28" w:type="dxa"/>
              <w:right w:w="40" w:type="dxa"/>
            </w:tcMar>
            <w:vAlign w:val="center"/>
          </w:tcPr>
          <w:p>
            <w:pPr>
              <w:pStyle w:val="TableContents"/>
              <w:bidi w:val="0"/>
              <w:spacing w:before="0" w:after="283"/>
              <w:jc w:val="left"/>
              <w:rPr/>
            </w:pPr>
            <w:r>
              <w:rPr/>
              <w:t> </w:t>
            </w:r>
          </w:p>
        </w:tc>
      </w:tr>
      <w:tr>
        <w:trPr/>
        <w:tc>
          <w:tcPr>
            <w:tcW w:w="4160" w:type="dxa"/>
            <w:tcBorders/>
            <w:shd w:fill="F4F0DC" w:val="clear"/>
            <w:vAlign w:val="center"/>
          </w:tcPr>
          <w:p>
            <w:pPr>
              <w:pStyle w:val="TableContents"/>
              <w:bidi w:val="0"/>
              <w:spacing w:before="0" w:after="283"/>
              <w:jc w:val="left"/>
              <w:rPr>
                <w:sz w:val="4"/>
                <w:szCs w:val="4"/>
              </w:rPr>
            </w:pPr>
            <w:r>
              <w:rPr>
                <w:sz w:val="4"/>
                <w:szCs w:val="4"/>
              </w:rPr>
            </w:r>
          </w:p>
        </w:tc>
        <w:tc>
          <w:tcPr>
            <w:tcW w:w="105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Cash Flow from Operating Activities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605.3</w:t>
            </w:r>
          </w:p>
        </w:tc>
        <w:tc>
          <w:tcPr>
            <w:tcW w:w="30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771.7</w:t>
            </w:r>
          </w:p>
        </w:tc>
        <w:tc>
          <w:tcPr>
            <w:tcW w:w="14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769.8</w:t>
            </w:r>
          </w:p>
        </w:tc>
        <w:tc>
          <w:tcPr>
            <w:tcW w:w="15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4160" w:type="dxa"/>
            <w:tcBorders/>
            <w:shd w:fill="F4F0DC" w:val="clear"/>
            <w:vAlign w:val="center"/>
          </w:tcPr>
          <w:p>
            <w:pPr>
              <w:pStyle w:val="TableContents"/>
              <w:bidi w:val="0"/>
              <w:spacing w:before="0" w:after="283"/>
              <w:jc w:val="left"/>
              <w:rPr>
                <w:sz w:val="4"/>
                <w:szCs w:val="4"/>
              </w:rPr>
            </w:pPr>
            <w:r>
              <w:rPr>
                <w:sz w:val="4"/>
                <w:szCs w:val="4"/>
              </w:rPr>
            </w:r>
          </w:p>
        </w:tc>
        <w:tc>
          <w:tcPr>
            <w:tcW w:w="105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Operating Activities of Discontinued Operations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0.5</w:t>
            </w:r>
          </w:p>
        </w:tc>
        <w:tc>
          <w:tcPr>
            <w:tcW w:w="30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1.0</w:t>
            </w:r>
          </w:p>
        </w:tc>
        <w:tc>
          <w:tcPr>
            <w:tcW w:w="14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N/A</w:t>
            </w:r>
          </w:p>
        </w:tc>
        <w:tc>
          <w:tcPr>
            <w:tcW w:w="15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4160" w:type="dxa"/>
            <w:tcBorders/>
            <w:shd w:fill="F4F0DC" w:val="clear"/>
            <w:vAlign w:val="center"/>
          </w:tcPr>
          <w:p>
            <w:pPr>
              <w:pStyle w:val="TableContents"/>
              <w:bidi w:val="0"/>
              <w:spacing w:before="0" w:after="283"/>
              <w:jc w:val="left"/>
              <w:rPr>
                <w:sz w:val="4"/>
                <w:szCs w:val="4"/>
              </w:rPr>
            </w:pPr>
            <w:r>
              <w:rPr>
                <w:sz w:val="4"/>
                <w:szCs w:val="4"/>
              </w:rPr>
            </w:r>
          </w:p>
        </w:tc>
        <w:tc>
          <w:tcPr>
            <w:tcW w:w="105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Capital Maintenance Expenditures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(77.7</w:t>
            </w:r>
          </w:p>
        </w:tc>
        <w:tc>
          <w:tcPr>
            <w:tcW w:w="30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(83.6</w:t>
            </w:r>
          </w:p>
        </w:tc>
        <w:tc>
          <w:tcPr>
            <w:tcW w:w="14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(70.2</w:t>
            </w:r>
          </w:p>
        </w:tc>
        <w:tc>
          <w:tcPr>
            <w:tcW w:w="15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r>
      <w:tr>
        <w:trPr/>
        <w:tc>
          <w:tcPr>
            <w:tcW w:w="4160" w:type="dxa"/>
            <w:tcBorders/>
            <w:shd w:fill="F4F0DC" w:val="clear"/>
            <w:vAlign w:val="center"/>
          </w:tcPr>
          <w:p>
            <w:pPr>
              <w:pStyle w:val="TableContents"/>
              <w:bidi w:val="0"/>
              <w:spacing w:before="0" w:after="283"/>
              <w:jc w:val="left"/>
              <w:rPr>
                <w:sz w:val="4"/>
                <w:szCs w:val="4"/>
              </w:rPr>
            </w:pPr>
            <w:r>
              <w:rPr>
                <w:sz w:val="4"/>
                <w:szCs w:val="4"/>
              </w:rPr>
            </w:r>
          </w:p>
        </w:tc>
        <w:tc>
          <w:tcPr>
            <w:tcW w:w="105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Change in Restricted Cash</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12.0</w:t>
            </w:r>
          </w:p>
        </w:tc>
        <w:tc>
          <w:tcPr>
            <w:tcW w:w="305" w:type="dxa"/>
            <w:tcBorders>
              <w:bottom w:val="single" w:sz="6" w:space="0" w:color="B99C16"/>
            </w:tcBorders>
            <w:tcMar>
              <w:bottom w:w="120" w:type="dxa"/>
            </w:tcMar>
            <w:vAlign w:val="center"/>
          </w:tcPr>
          <w:p>
            <w:pPr>
              <w:pStyle w:val="TableContents"/>
              <w:bidi w:val="0"/>
              <w:spacing w:lineRule="atLeast" w:line="260" w:before="0" w:after="0"/>
              <w:jc w:val="left"/>
              <w:rPr>
                <w:rFonts w:ascii="arial" w:hAnsi="arial"/>
                <w:sz w:val="20"/>
              </w:rPr>
            </w:pPr>
            <w:r>
              <w:rPr>
                <w:rFonts w:ascii="arial" w:hAnsi="arial"/>
                <w:sz w:val="20"/>
              </w:rPr>
              <w:t>(1)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0.1</w:t>
            </w:r>
          </w:p>
        </w:tc>
        <w:tc>
          <w:tcPr>
            <w:tcW w:w="14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(10.7</w:t>
            </w:r>
          </w:p>
        </w:tc>
        <w:tc>
          <w:tcPr>
            <w:tcW w:w="15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r>
      <w:tr>
        <w:trPr/>
        <w:tc>
          <w:tcPr>
            <w:tcW w:w="4160" w:type="dxa"/>
            <w:tcBorders/>
            <w:shd w:fill="F4F0DC" w:val="clear"/>
            <w:vAlign w:val="center"/>
          </w:tcPr>
          <w:p>
            <w:pPr>
              <w:pStyle w:val="TableContents"/>
              <w:bidi w:val="0"/>
              <w:spacing w:before="0" w:after="283"/>
              <w:jc w:val="left"/>
              <w:rPr>
                <w:sz w:val="4"/>
                <w:szCs w:val="4"/>
              </w:rPr>
            </w:pPr>
            <w:r>
              <w:rPr>
                <w:sz w:val="4"/>
                <w:szCs w:val="4"/>
              </w:rPr>
            </w:r>
          </w:p>
        </w:tc>
        <w:tc>
          <w:tcPr>
            <w:tcW w:w="105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Proceeds from Equity Transaction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N/A</w:t>
            </w:r>
          </w:p>
        </w:tc>
        <w:tc>
          <w:tcPr>
            <w:tcW w:w="30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(14.4</w:t>
            </w:r>
          </w:p>
        </w:tc>
        <w:tc>
          <w:tcPr>
            <w:tcW w:w="14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N/A</w:t>
            </w:r>
          </w:p>
        </w:tc>
        <w:tc>
          <w:tcPr>
            <w:tcW w:w="15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4160" w:type="dxa"/>
            <w:tcBorders/>
            <w:shd w:fill="F4F0DC" w:val="clear"/>
            <w:vAlign w:val="center"/>
          </w:tcPr>
          <w:p>
            <w:pPr>
              <w:pStyle w:val="TableContents"/>
              <w:bidi w:val="0"/>
              <w:spacing w:before="0" w:after="283"/>
              <w:jc w:val="left"/>
              <w:rPr>
                <w:sz w:val="4"/>
                <w:szCs w:val="4"/>
              </w:rPr>
            </w:pPr>
            <w:r>
              <w:rPr>
                <w:sz w:val="4"/>
                <w:szCs w:val="4"/>
              </w:rPr>
            </w:r>
          </w:p>
        </w:tc>
        <w:tc>
          <w:tcPr>
            <w:tcW w:w="105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Cash Flow Metric</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540.1</w:t>
            </w:r>
          </w:p>
        </w:tc>
        <w:tc>
          <w:tcPr>
            <w:tcW w:w="30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674.8</w:t>
            </w:r>
          </w:p>
        </w:tc>
        <w:tc>
          <w:tcPr>
            <w:tcW w:w="14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50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688.9</w:t>
            </w:r>
          </w:p>
        </w:tc>
        <w:tc>
          <w:tcPr>
            <w:tcW w:w="15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305"/>
        <w:gridCol w:w="9455"/>
      </w:tblGrid>
      <w:tr>
        <w:trPr/>
        <w:tc>
          <w:tcPr>
            <w:tcW w:w="305" w:type="dxa"/>
            <w:tcBorders/>
            <w:vAlign w:val="center"/>
          </w:tcPr>
          <w:p>
            <w:pPr>
              <w:pStyle w:val="TableContents"/>
              <w:bidi w:val="0"/>
              <w:spacing w:before="0" w:after="283"/>
              <w:jc w:val="left"/>
              <w:rPr/>
            </w:pPr>
            <w:r>
              <w:rPr/>
              <w:t>(1)</w:t>
            </w:r>
          </w:p>
        </w:tc>
        <w:tc>
          <w:tcPr>
            <w:tcW w:w="9455" w:type="dxa"/>
            <w:tcBorders/>
            <w:vAlign w:val="center"/>
          </w:tcPr>
          <w:p>
            <w:pPr>
              <w:pStyle w:val="TableContents"/>
              <w:bidi w:val="0"/>
              <w:spacing w:before="0" w:after="0"/>
              <w:jc w:val="left"/>
              <w:rPr>
                <w:rFonts w:ascii="arial" w:hAnsi="arial"/>
                <w:sz w:val="18"/>
              </w:rPr>
            </w:pPr>
            <w:r>
              <w:rPr>
                <w:rFonts w:ascii="arial" w:hAnsi="arial"/>
                <w:sz w:val="18"/>
              </w:rPr>
              <w:t xml:space="preserve">Change in Restricted Cash excludes receipt of proceeds from the pending United Tote Company equity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arial" w:hAnsi="arial"/>
                <w:sz w:val="20"/>
              </w:rPr>
            </w:pPr>
            <w:r>
              <w:rPr>
                <w:rFonts w:ascii="arial" w:hAnsi="arial"/>
                <w:sz w:val="20"/>
              </w:rPr>
              <w:t xml:space="preserve">Total Shareholder Return—defined as the Company’s stock price as of the end of the measurement period, assuming reinvestment of dividends, divided by the Company’s stock price as of the beginning of the measurement period. The Company’s Total Shareholder Return for the period January 1, 2023 through December 31, 2025 was 7%.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38</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7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7" descr=""/>
                          <pic:cNvPicPr>
                            <a:picLocks noChangeAspect="1" noChangeArrowheads="1"/>
                          </pic:cNvPicPr>
                        </pic:nvPicPr>
                        <pic:blipFill>
                          <a:blip r:embed="rId78"/>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Based on the performance achievement as discussed above, the participating NEOs received PSUs as follows: </w:t>
      </w:r>
    </w:p>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1910"/>
        <w:gridCol w:w="120"/>
        <w:gridCol w:w="81"/>
        <w:gridCol w:w="824"/>
        <w:gridCol w:w="60"/>
        <w:gridCol w:w="120"/>
        <w:gridCol w:w="80"/>
        <w:gridCol w:w="675"/>
        <w:gridCol w:w="260"/>
        <w:gridCol w:w="120"/>
        <w:gridCol w:w="60"/>
        <w:gridCol w:w="605"/>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085"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135"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860" w:type="dxa"/>
            <w:gridSpan w:val="4"/>
            <w:tcBorders>
              <w:top w:val="single" w:sz="16" w:space="0" w:color="004876"/>
              <w:right w:val="single" w:sz="6" w:space="0" w:color="004876"/>
            </w:tcBorders>
            <w:shd w:fill="004876" w:val="clear"/>
            <w:tcMar>
              <w:top w:w="28" w:type="dxa"/>
              <w:right w:w="28" w:type="dxa"/>
            </w:tcMar>
            <w:vAlign w:val="center"/>
          </w:tcPr>
          <w:p>
            <w:pPr>
              <w:pStyle w:val="TableContents"/>
              <w:bidi w:val="0"/>
              <w:spacing w:before="0" w:after="283"/>
              <w:jc w:val="left"/>
              <w:rPr/>
            </w:pPr>
            <w:r>
              <w:rPr/>
              <w:t> </w:t>
            </w:r>
          </w:p>
        </w:tc>
      </w:tr>
      <w:tr>
        <w:trPr/>
        <w:tc>
          <w:tcPr>
            <w:tcW w:w="1910" w:type="dxa"/>
            <w:tcBorders>
              <w:bottom w:val="single" w:sz="16" w:space="0" w:color="004876"/>
            </w:tcBorders>
            <w:shd w:fill="004876" w:val="clear"/>
            <w:tcMar>
              <w:bottom w:w="120" w:type="dxa"/>
            </w:tcMar>
            <w:vAlign w:val="center"/>
          </w:tcPr>
          <w:p>
            <w:pPr>
              <w:pStyle w:val="TableContents"/>
              <w:bidi w:val="0"/>
              <w:spacing w:before="0" w:after="0"/>
              <w:jc w:val="left"/>
              <w:rPr>
                <w:color w:val="FFFFFF"/>
              </w:rPr>
            </w:pPr>
            <w:r>
              <w:rPr>
                <w:color w:val="FFFFFF"/>
              </w:rPr>
              <w:t> </w:t>
            </w:r>
            <w:r>
              <w:rPr>
                <w:b/>
                <w:color w:val="FFFFFF"/>
              </w:rPr>
              <w:t>Name</w:t>
            </w:r>
          </w:p>
          <w:p>
            <w:pPr>
              <w:pStyle w:val="TableContents"/>
              <w:bidi w:val="0"/>
              <w:spacing w:before="0" w:after="0"/>
              <w:jc w:val="left"/>
              <w:rPr>
                <w:b/>
                <w:color w:val="FFFFFF"/>
                <w:sz w:val="9"/>
              </w:rPr>
            </w:pPr>
            <w:r>
              <w:rPr>
                <w:b/>
                <w:color w:val="FFFFFF"/>
                <w:sz w:val="9"/>
              </w:rPr>
              <w:t>(1)</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905" w:type="dxa"/>
            <w:gridSpan w:val="2"/>
            <w:tcBorders>
              <w:bottom w:val="single" w:sz="1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Target PSU</w:t>
            </w:r>
          </w:p>
          <w:p>
            <w:pPr>
              <w:pStyle w:val="TableContents"/>
              <w:bidi w:val="0"/>
              <w:spacing w:before="0" w:after="20"/>
              <w:jc w:val="center"/>
              <w:rPr>
                <w:rFonts w:ascii="arial" w:hAnsi="arial"/>
                <w:b/>
                <w:color w:val="FFFFFF"/>
                <w:sz w:val="16"/>
              </w:rPr>
            </w:pPr>
            <w:r>
              <w:rPr>
                <w:rFonts w:ascii="arial" w:hAnsi="arial"/>
                <w:b/>
                <w:color w:val="FFFFFF"/>
                <w:sz w:val="16"/>
              </w:rPr>
              <w:t>Award</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755" w:type="dxa"/>
            <w:gridSpan w:val="2"/>
            <w:tcBorders>
              <w:bottom w:val="single" w:sz="1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Target</w:t>
            </w:r>
          </w:p>
          <w:p>
            <w:pPr>
              <w:pStyle w:val="TableContents"/>
              <w:bidi w:val="0"/>
              <w:spacing w:before="0" w:after="20"/>
              <w:jc w:val="center"/>
              <w:rPr>
                <w:rFonts w:ascii="arial" w:hAnsi="arial"/>
                <w:b/>
                <w:color w:val="FFFFFF"/>
                <w:sz w:val="16"/>
              </w:rPr>
            </w:pPr>
            <w:r>
              <w:rPr>
                <w:rFonts w:ascii="arial" w:hAnsi="arial"/>
                <w:b/>
                <w:color w:val="FFFFFF"/>
                <w:sz w:val="16"/>
              </w:rPr>
              <w:t>Multiplier</w:t>
            </w:r>
          </w:p>
        </w:tc>
        <w:tc>
          <w:tcPr>
            <w:tcW w:w="2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65" w:type="dxa"/>
            <w:gridSpan w:val="2"/>
            <w:tcBorders>
              <w:bottom w:val="single" w:sz="1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PSU</w:t>
            </w:r>
          </w:p>
          <w:p>
            <w:pPr>
              <w:pStyle w:val="TableContents"/>
              <w:bidi w:val="0"/>
              <w:spacing w:before="0" w:after="20"/>
              <w:jc w:val="center"/>
              <w:rPr>
                <w:rFonts w:ascii="arial" w:hAnsi="arial"/>
                <w:b/>
                <w:color w:val="FFFFFF"/>
                <w:sz w:val="16"/>
              </w:rPr>
            </w:pPr>
            <w:r>
              <w:rPr>
                <w:rFonts w:ascii="arial" w:hAnsi="arial"/>
                <w:b/>
                <w:color w:val="FFFFFF"/>
                <w:sz w:val="16"/>
              </w:rPr>
              <w:t>Payout</w:t>
            </w:r>
          </w:p>
          <w:p>
            <w:pPr>
              <w:pStyle w:val="TableContents"/>
              <w:bidi w:val="0"/>
              <w:spacing w:before="0" w:after="20"/>
              <w:jc w:val="center"/>
              <w:rPr>
                <w:rFonts w:ascii="arial" w:hAnsi="arial"/>
                <w:b/>
                <w:color w:val="FFFFFF"/>
                <w:sz w:val="9"/>
              </w:rPr>
            </w:pPr>
            <w:r>
              <w:rPr>
                <w:rFonts w:ascii="arial" w:hAnsi="arial"/>
                <w:b/>
                <w:color w:val="FFFFFF"/>
                <w:sz w:val="9"/>
              </w:rPr>
              <w:t>(1)</w:t>
            </w:r>
          </w:p>
        </w:tc>
        <w:tc>
          <w:tcPr>
            <w:tcW w:w="75" w:type="dxa"/>
            <w:tcBorders>
              <w:bottom w:val="single" w:sz="16" w:space="0" w:color="004876"/>
              <w:right w:val="single" w:sz="6" w:space="0" w:color="004876"/>
            </w:tcBorders>
            <w:shd w:fill="004876" w:val="clear"/>
            <w:tcMar>
              <w:bottom w:w="28" w:type="dxa"/>
              <w:right w:w="40" w:type="dxa"/>
            </w:tcMar>
            <w:vAlign w:val="center"/>
          </w:tcPr>
          <w:p>
            <w:pPr>
              <w:pStyle w:val="TableContents"/>
              <w:bidi w:val="0"/>
              <w:spacing w:before="0" w:after="283"/>
              <w:jc w:val="left"/>
              <w:rPr/>
            </w:pPr>
            <w:r>
              <w:rPr/>
              <w:t> </w:t>
            </w:r>
          </w:p>
        </w:tc>
      </w:tr>
      <w:tr>
        <w:trPr/>
        <w:tc>
          <w:tcPr>
            <w:tcW w:w="1910" w:type="dxa"/>
            <w:tcBorders>
              <w:top w:val="single" w:sz="6" w:space="0" w:color="004876"/>
            </w:tcBorders>
            <w:shd w:fill="F4F0DC" w:val="clear"/>
            <w:tcMar>
              <w:top w:w="28" w:type="dxa"/>
            </w:tcMar>
            <w:vAlign w:val="center"/>
          </w:tcPr>
          <w:p>
            <w:pPr>
              <w:pStyle w:val="TableContents"/>
              <w:bidi w:val="0"/>
              <w:spacing w:before="0" w:after="283"/>
              <w:jc w:val="left"/>
              <w:rPr/>
            </w:pPr>
            <w:r>
              <w:rPr/>
              <w:t> </w:t>
            </w:r>
          </w:p>
        </w:tc>
        <w:tc>
          <w:tcPr>
            <w:tcW w:w="1085" w:type="dxa"/>
            <w:gridSpan w:val="4"/>
            <w:tcBorders>
              <w:top w:val="single" w:sz="6" w:space="0" w:color="004876"/>
            </w:tcBorders>
            <w:tcMar>
              <w:top w:w="28" w:type="dxa"/>
            </w:tcMar>
            <w:vAlign w:val="center"/>
          </w:tcPr>
          <w:p>
            <w:pPr>
              <w:pStyle w:val="TableContents"/>
              <w:bidi w:val="0"/>
              <w:spacing w:before="0" w:after="283"/>
              <w:jc w:val="left"/>
              <w:rPr/>
            </w:pPr>
            <w:r>
              <w:rPr/>
              <w:t> </w:t>
            </w:r>
          </w:p>
        </w:tc>
        <w:tc>
          <w:tcPr>
            <w:tcW w:w="1135" w:type="dxa"/>
            <w:gridSpan w:val="4"/>
            <w:tcBorders>
              <w:top w:val="single" w:sz="6" w:space="0" w:color="004876"/>
            </w:tcBorders>
            <w:tcMar>
              <w:top w:w="28" w:type="dxa"/>
            </w:tcMar>
            <w:vAlign w:val="center"/>
          </w:tcPr>
          <w:p>
            <w:pPr>
              <w:pStyle w:val="TableContents"/>
              <w:bidi w:val="0"/>
              <w:spacing w:before="0" w:after="283"/>
              <w:jc w:val="left"/>
              <w:rPr/>
            </w:pPr>
            <w:r>
              <w:rPr/>
              <w:t> </w:t>
            </w:r>
          </w:p>
        </w:tc>
        <w:tc>
          <w:tcPr>
            <w:tcW w:w="860" w:type="dxa"/>
            <w:gridSpan w:val="4"/>
            <w:tcBorders>
              <w:top w:val="single" w:sz="6" w:space="0" w:color="004876"/>
            </w:tcBorders>
            <w:tcMar>
              <w:top w:w="28" w:type="dxa"/>
            </w:tcMar>
            <w:vAlign w:val="center"/>
          </w:tcPr>
          <w:p>
            <w:pPr>
              <w:pStyle w:val="TableContents"/>
              <w:bidi w:val="0"/>
              <w:spacing w:before="0" w:after="283"/>
              <w:jc w:val="left"/>
              <w:rPr/>
            </w:pPr>
            <w:r>
              <w:rPr/>
              <w:t> </w:t>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William C. Carstanjen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24"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27,222</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138.6</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37,726</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William E. Mudd</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24"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12,010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138.6</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16,644</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Marcia A. Dall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24"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8,808</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138.6</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12,207</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Bradley K. Blackwell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24"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4,404</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138.6</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6,103</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Maureen Adams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24"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4,404</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138.6</w:t>
            </w:r>
          </w:p>
        </w:tc>
        <w:tc>
          <w:tcPr>
            <w:tcW w:w="260"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60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6,103</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0"/>
              <w:jc w:val="left"/>
              <w:rPr>
                <w:rFonts w:ascii="arial" w:hAnsi="arial"/>
                <w:sz w:val="20"/>
              </w:rPr>
            </w:pPr>
            <w:r>
              <w:rPr>
                <w:rFonts w:ascii="arial" w:hAnsi="arial"/>
                <w:sz w:val="20"/>
              </w:rPr>
              <w:t xml:space="preserve">In 2026, the Committee offered the cash-settlement of the 2023 PSU awards to each then-serving NEO. Mr. Carstanjen and Mr. Mudd accepted the Committee’s offer to settle the awards in cash. Accordingly, in February 2026, the 2023 PSU awards were settled in cash after certification by the Committee that the Company achieved the required level of performance. The cash amounts paid to the participating NEOs with respect to the 2023 PSU awards were based upon the closing price of the Company’s Common Stock on February 5, 2026 ($93.69 per share). Ms. Dall and Mr. Blackwell elected to receive settlement of the awards in Company Common Stock. </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0"/>
        <w:jc w:val="left"/>
        <w:rPr>
          <w:rFonts w:ascii="arial" w:hAnsi="arial"/>
          <w:b/>
          <w:color w:val="004876"/>
          <w:sz w:val="20"/>
        </w:rPr>
      </w:pPr>
      <w:r>
        <w:rPr>
          <w:rFonts w:ascii="arial" w:hAnsi="arial"/>
          <w:b/>
          <w:color w:val="004876"/>
          <w:sz w:val="20"/>
        </w:rPr>
        <w:t xml:space="preserve">Executive Stock Ownership Guidelines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20"/>
        </w:rPr>
      </w:pPr>
      <w:r>
        <w:rPr>
          <w:rFonts w:ascii="arial" w:hAnsi="arial"/>
          <w:sz w:val="20"/>
        </w:rPr>
        <w:t xml:space="preserve">Our Board of Directors has adopted minimum stock ownership guidelines for our executive officers. The principal objective of the guidelines is to enhance the linkage between the interests of shareholders and our executive officers by requiring a meaningful, minimum level of stock ownership. The current guidelines provide that, within five years of becoming subject to the stock ownership guidelines, our CEO should own shares valued at an amount equal to at least six times his base salary, our President &amp; COO should own shares valued at an amount equal to at least four times his base salary, and our other executive officers should own shares valued at an amount equal to at least three times the executive’s base salary. As of the Record Date, each continuing NEO met or exceeded the guidelines.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1910"/>
        <w:gridCol w:w="60"/>
        <w:gridCol w:w="166"/>
        <w:gridCol w:w="724"/>
        <w:gridCol w:w="60"/>
        <w:gridCol w:w="60"/>
        <w:gridCol w:w="1805"/>
      </w:tblGrid>
      <w:tr>
        <w:trPr/>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1910"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010"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865" w:type="dxa"/>
            <w:gridSpan w:val="2"/>
            <w:tcBorders>
              <w:top w:val="single" w:sz="16" w:space="0" w:color="004876"/>
            </w:tcBorders>
            <w:shd w:fill="004876" w:val="clear"/>
            <w:tcMar>
              <w:top w:w="28" w:type="dxa"/>
            </w:tcMar>
            <w:vAlign w:val="center"/>
          </w:tcPr>
          <w:p>
            <w:pPr>
              <w:pStyle w:val="TableContents"/>
              <w:bidi w:val="0"/>
              <w:spacing w:before="0" w:after="283"/>
              <w:jc w:val="left"/>
              <w:rPr/>
            </w:pPr>
            <w:r>
              <w:rPr/>
              <w:t> </w:t>
            </w:r>
          </w:p>
        </w:tc>
      </w:tr>
      <w:tr>
        <w:trPr/>
        <w:tc>
          <w:tcPr>
            <w:tcW w:w="1910" w:type="dxa"/>
            <w:tcBorders>
              <w:bottom w:val="single" w:sz="16" w:space="0" w:color="004876"/>
            </w:tcBorders>
            <w:shd w:fill="004876" w:val="clear"/>
            <w:tcMar>
              <w:bottom w:w="120" w:type="dxa"/>
            </w:tcMar>
            <w:vAlign w:val="center"/>
          </w:tcPr>
          <w:p>
            <w:pPr>
              <w:pStyle w:val="TableContents"/>
              <w:bidi w:val="0"/>
              <w:spacing w:before="0" w:after="0"/>
              <w:jc w:val="left"/>
              <w:rPr>
                <w:color w:val="FFFFFF"/>
              </w:rPr>
            </w:pPr>
            <w:r>
              <w:rPr>
                <w:color w:val="FFFFFF"/>
              </w:rPr>
              <w:t> </w:t>
            </w:r>
            <w:r>
              <w:rPr>
                <w:b/>
                <w:color w:val="FFFFFF"/>
              </w:rPr>
              <w:t>Executive Officer</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890" w:type="dxa"/>
            <w:gridSpan w:val="2"/>
            <w:tcBorders>
              <w:bottom w:val="single" w:sz="1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Ownership</w:t>
            </w:r>
          </w:p>
          <w:p>
            <w:pPr>
              <w:pStyle w:val="TableContents"/>
              <w:bidi w:val="0"/>
              <w:spacing w:before="0" w:after="20"/>
              <w:jc w:val="center"/>
              <w:rPr>
                <w:rFonts w:ascii="arial" w:hAnsi="arial"/>
                <w:b/>
                <w:color w:val="FFFFFF"/>
                <w:sz w:val="16"/>
              </w:rPr>
            </w:pPr>
            <w:r>
              <w:rPr>
                <w:rFonts w:ascii="arial" w:hAnsi="arial"/>
                <w:b/>
                <w:color w:val="FFFFFF"/>
                <w:sz w:val="16"/>
              </w:rPr>
              <w:t>Guidelines</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805" w:type="dxa"/>
            <w:tcBorders>
              <w:bottom w:val="single" w:sz="16" w:space="0" w:color="004876"/>
            </w:tcBorders>
            <w:shd w:fill="004876" w:val="clear"/>
            <w:tcMar>
              <w:bottom w:w="120" w:type="dxa"/>
            </w:tcMar>
            <w:vAlign w:val="center"/>
          </w:tcPr>
          <w:p>
            <w:pPr>
              <w:pStyle w:val="TableContents"/>
              <w:bidi w:val="0"/>
              <w:spacing w:before="0" w:after="0"/>
              <w:jc w:val="center"/>
              <w:rPr>
                <w:color w:val="FFFFFF"/>
              </w:rPr>
            </w:pPr>
            <w:r>
              <w:rPr>
                <w:color w:val="FFFFFF"/>
              </w:rPr>
              <w:t> </w:t>
            </w:r>
            <w:r>
              <w:rPr>
                <w:b/>
                <w:color w:val="FFFFFF"/>
              </w:rPr>
              <w:t>Met Guidelines </w:t>
            </w:r>
          </w:p>
        </w:tc>
      </w:tr>
      <w:tr>
        <w:trPr/>
        <w:tc>
          <w:tcPr>
            <w:tcW w:w="1910" w:type="dxa"/>
            <w:tcBorders>
              <w:top w:val="single" w:sz="6" w:space="0" w:color="004876"/>
            </w:tcBorders>
            <w:shd w:fill="F4F0DC" w:val="clear"/>
            <w:tcMar>
              <w:top w:w="28" w:type="dxa"/>
            </w:tcMar>
            <w:vAlign w:val="center"/>
          </w:tcPr>
          <w:p>
            <w:pPr>
              <w:pStyle w:val="TableContents"/>
              <w:bidi w:val="0"/>
              <w:spacing w:before="0" w:after="283"/>
              <w:jc w:val="left"/>
              <w:rPr/>
            </w:pPr>
            <w:r>
              <w:rPr/>
              <w:t> </w:t>
            </w:r>
          </w:p>
        </w:tc>
        <w:tc>
          <w:tcPr>
            <w:tcW w:w="1010" w:type="dxa"/>
            <w:gridSpan w:val="4"/>
            <w:tcBorders>
              <w:top w:val="single" w:sz="6" w:space="0" w:color="004876"/>
            </w:tcBorders>
            <w:tcMar>
              <w:top w:w="28" w:type="dxa"/>
            </w:tcMar>
            <w:vAlign w:val="center"/>
          </w:tcPr>
          <w:p>
            <w:pPr>
              <w:pStyle w:val="TableContents"/>
              <w:bidi w:val="0"/>
              <w:spacing w:before="0" w:after="283"/>
              <w:jc w:val="left"/>
              <w:rPr/>
            </w:pPr>
            <w:r>
              <w:rPr/>
              <w:t> </w:t>
            </w:r>
          </w:p>
        </w:tc>
        <w:tc>
          <w:tcPr>
            <w:tcW w:w="1865" w:type="dxa"/>
            <w:gridSpan w:val="2"/>
            <w:tcBorders>
              <w:top w:val="single" w:sz="6" w:space="0" w:color="004876"/>
            </w:tcBorders>
            <w:tcMar>
              <w:top w:w="28" w:type="dxa"/>
            </w:tcMar>
            <w:vAlign w:val="center"/>
          </w:tcPr>
          <w:p>
            <w:pPr>
              <w:pStyle w:val="TableContents"/>
              <w:bidi w:val="0"/>
              <w:spacing w:before="0" w:after="283"/>
              <w:jc w:val="left"/>
              <w:rPr/>
            </w:pPr>
            <w:r>
              <w:rPr/>
              <w:t> </w:t>
            </w:r>
          </w:p>
        </w:tc>
      </w:tr>
      <w:tr>
        <w:trPr/>
        <w:tc>
          <w:tcPr>
            <w:tcW w:w="1910" w:type="dxa"/>
            <w:tcBorders>
              <w:bottom w:val="single" w:sz="6" w:space="0" w:color="B99C16"/>
            </w:tcBorders>
            <w:shd w:fill="F4F0DC" w:val="clear"/>
            <w:tcMar>
              <w:bottom w:w="40" w:type="dxa"/>
            </w:tcMar>
            <w:vAlign w:val="center"/>
          </w:tcPr>
          <w:p>
            <w:pPr>
              <w:pStyle w:val="TableContents"/>
              <w:bidi w:val="0"/>
              <w:spacing w:before="0" w:after="0"/>
              <w:jc w:val="left"/>
              <w:rPr>
                <w:rFonts w:ascii="arial" w:hAnsi="arial"/>
                <w:sz w:val="20"/>
              </w:rPr>
            </w:pPr>
            <w:r>
              <w:rPr>
                <w:rFonts w:ascii="arial" w:hAnsi="arial"/>
                <w:sz w:val="20"/>
              </w:rPr>
              <w:t>William C. Carstanjen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66" w:type="dxa"/>
            <w:tcBorders>
              <w:bottom w:val="single" w:sz="6" w:space="0" w:color="B99C16"/>
            </w:tcBorders>
            <w:tcMar>
              <w:bottom w:w="40" w:type="dxa"/>
            </w:tcMar>
            <w:vAlign w:val="center"/>
          </w:tcPr>
          <w:p>
            <w:pPr>
              <w:pStyle w:val="TableContents"/>
              <w:bidi w:val="0"/>
              <w:spacing w:before="0" w:after="283"/>
              <w:jc w:val="left"/>
              <w:rPr/>
            </w:pPr>
            <w:r>
              <w:rPr/>
              <w:t> </w:t>
            </w:r>
          </w:p>
        </w:tc>
        <w:tc>
          <w:tcPr>
            <w:tcW w:w="724" w:type="dxa"/>
            <w:tcBorders>
              <w:bottom w:val="single" w:sz="6" w:space="0" w:color="B99C16"/>
            </w:tcBorders>
            <w:tcMar>
              <w:bottom w:w="40" w:type="dxa"/>
            </w:tcMar>
            <w:vAlign w:val="center"/>
          </w:tcPr>
          <w:p>
            <w:pPr>
              <w:pStyle w:val="TableContents"/>
              <w:bidi w:val="0"/>
              <w:spacing w:before="0" w:after="283"/>
              <w:jc w:val="right"/>
              <w:rPr/>
            </w:pPr>
            <w:r>
              <w:rPr/>
              <w:t>6x</w:t>
            </w:r>
          </w:p>
        </w:tc>
        <w:tc>
          <w:tcPr>
            <w:tcW w:w="60" w:type="dxa"/>
            <w:tcBorders>
              <w:bottom w:val="single" w:sz="6" w:space="0" w:color="B99C16"/>
            </w:tcBorders>
            <w:tcMar>
              <w:bottom w:w="4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805" w:type="dxa"/>
            <w:tcBorders>
              <w:bottom w:val="single" w:sz="6" w:space="0" w:color="B99C16"/>
            </w:tcBorders>
            <w:tcMar>
              <w:bottom w:w="40" w:type="dxa"/>
            </w:tcMar>
            <w:vAlign w:val="center"/>
          </w:tcPr>
          <w:p>
            <w:pPr>
              <w:pStyle w:val="TableContents"/>
              <w:bidi w:val="0"/>
              <w:spacing w:before="0" w:after="0"/>
              <w:jc w:val="center"/>
              <w:rPr/>
            </w:pPr>
            <w:r>
              <w:rPr/>
              <w:t>✓</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865" w:type="dxa"/>
            <w:gridSpan w:val="2"/>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40" w:type="dxa"/>
            </w:tcMar>
            <w:vAlign w:val="center"/>
          </w:tcPr>
          <w:p>
            <w:pPr>
              <w:pStyle w:val="TableContents"/>
              <w:bidi w:val="0"/>
              <w:spacing w:before="0" w:after="0"/>
              <w:jc w:val="left"/>
              <w:rPr>
                <w:rFonts w:ascii="arial" w:hAnsi="arial"/>
                <w:sz w:val="20"/>
              </w:rPr>
            </w:pPr>
            <w:r>
              <w:rPr>
                <w:rFonts w:ascii="arial" w:hAnsi="arial"/>
                <w:sz w:val="20"/>
              </w:rPr>
              <w:t>William E. Mudd</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66" w:type="dxa"/>
            <w:tcBorders>
              <w:bottom w:val="single" w:sz="6" w:space="0" w:color="B99C16"/>
            </w:tcBorders>
            <w:tcMar>
              <w:bottom w:w="40" w:type="dxa"/>
            </w:tcMar>
            <w:vAlign w:val="center"/>
          </w:tcPr>
          <w:p>
            <w:pPr>
              <w:pStyle w:val="TableContents"/>
              <w:bidi w:val="0"/>
              <w:spacing w:before="0" w:after="283"/>
              <w:jc w:val="left"/>
              <w:rPr/>
            </w:pPr>
            <w:r>
              <w:rPr/>
              <w:t> </w:t>
            </w:r>
          </w:p>
        </w:tc>
        <w:tc>
          <w:tcPr>
            <w:tcW w:w="724" w:type="dxa"/>
            <w:tcBorders>
              <w:bottom w:val="single" w:sz="6" w:space="0" w:color="B99C16"/>
            </w:tcBorders>
            <w:tcMar>
              <w:bottom w:w="40" w:type="dxa"/>
            </w:tcMar>
            <w:vAlign w:val="center"/>
          </w:tcPr>
          <w:p>
            <w:pPr>
              <w:pStyle w:val="TableContents"/>
              <w:bidi w:val="0"/>
              <w:spacing w:before="0" w:after="283"/>
              <w:jc w:val="right"/>
              <w:rPr/>
            </w:pPr>
            <w:r>
              <w:rPr/>
              <w:t>4x</w:t>
            </w:r>
          </w:p>
        </w:tc>
        <w:tc>
          <w:tcPr>
            <w:tcW w:w="60" w:type="dxa"/>
            <w:tcBorders>
              <w:bottom w:val="single" w:sz="6" w:space="0" w:color="B99C16"/>
            </w:tcBorders>
            <w:tcMar>
              <w:bottom w:w="4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805" w:type="dxa"/>
            <w:tcBorders>
              <w:bottom w:val="single" w:sz="6" w:space="0" w:color="B99C16"/>
            </w:tcBorders>
            <w:tcMar>
              <w:bottom w:w="40" w:type="dxa"/>
            </w:tcMar>
            <w:vAlign w:val="center"/>
          </w:tcPr>
          <w:p>
            <w:pPr>
              <w:pStyle w:val="TableContents"/>
              <w:bidi w:val="0"/>
              <w:spacing w:before="0" w:after="0"/>
              <w:jc w:val="center"/>
              <w:rPr/>
            </w:pPr>
            <w:r>
              <w:rPr/>
              <w:t>✓</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865" w:type="dxa"/>
            <w:gridSpan w:val="2"/>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40" w:type="dxa"/>
            </w:tcMar>
            <w:vAlign w:val="center"/>
          </w:tcPr>
          <w:p>
            <w:pPr>
              <w:pStyle w:val="TableContents"/>
              <w:bidi w:val="0"/>
              <w:spacing w:before="0" w:after="0"/>
              <w:jc w:val="left"/>
              <w:rPr>
                <w:rFonts w:ascii="arial" w:hAnsi="arial"/>
                <w:sz w:val="20"/>
              </w:rPr>
            </w:pPr>
            <w:r>
              <w:rPr>
                <w:rFonts w:ascii="arial" w:hAnsi="arial"/>
                <w:sz w:val="20"/>
              </w:rPr>
              <w:t>Marcia A. Dall</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66" w:type="dxa"/>
            <w:tcBorders>
              <w:bottom w:val="single" w:sz="6" w:space="0" w:color="B99C16"/>
            </w:tcBorders>
            <w:tcMar>
              <w:bottom w:w="40" w:type="dxa"/>
            </w:tcMar>
            <w:vAlign w:val="center"/>
          </w:tcPr>
          <w:p>
            <w:pPr>
              <w:pStyle w:val="TableContents"/>
              <w:bidi w:val="0"/>
              <w:spacing w:before="0" w:after="283"/>
              <w:jc w:val="left"/>
              <w:rPr/>
            </w:pPr>
            <w:r>
              <w:rPr/>
              <w:t> </w:t>
            </w:r>
          </w:p>
        </w:tc>
        <w:tc>
          <w:tcPr>
            <w:tcW w:w="724" w:type="dxa"/>
            <w:tcBorders>
              <w:bottom w:val="single" w:sz="6" w:space="0" w:color="B99C16"/>
            </w:tcBorders>
            <w:tcMar>
              <w:bottom w:w="40" w:type="dxa"/>
            </w:tcMar>
            <w:vAlign w:val="center"/>
          </w:tcPr>
          <w:p>
            <w:pPr>
              <w:pStyle w:val="TableContents"/>
              <w:bidi w:val="0"/>
              <w:spacing w:before="0" w:after="283"/>
              <w:jc w:val="right"/>
              <w:rPr/>
            </w:pPr>
            <w:r>
              <w:rPr/>
              <w:t>3x</w:t>
            </w:r>
          </w:p>
        </w:tc>
        <w:tc>
          <w:tcPr>
            <w:tcW w:w="60" w:type="dxa"/>
            <w:tcBorders>
              <w:bottom w:val="single" w:sz="6" w:space="0" w:color="B99C16"/>
            </w:tcBorders>
            <w:tcMar>
              <w:bottom w:w="4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805" w:type="dxa"/>
            <w:tcBorders>
              <w:bottom w:val="single" w:sz="6" w:space="0" w:color="B99C16"/>
            </w:tcBorders>
            <w:tcMar>
              <w:bottom w:w="40" w:type="dxa"/>
            </w:tcMar>
            <w:vAlign w:val="center"/>
          </w:tcPr>
          <w:p>
            <w:pPr>
              <w:pStyle w:val="TableContents"/>
              <w:bidi w:val="0"/>
              <w:spacing w:before="0" w:after="0"/>
              <w:jc w:val="center"/>
              <w:rPr/>
            </w:pPr>
            <w:r>
              <w:rPr/>
              <w:t>✓</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865" w:type="dxa"/>
            <w:gridSpan w:val="2"/>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40" w:type="dxa"/>
            </w:tcMar>
            <w:vAlign w:val="center"/>
          </w:tcPr>
          <w:p>
            <w:pPr>
              <w:pStyle w:val="TableContents"/>
              <w:bidi w:val="0"/>
              <w:spacing w:before="0" w:after="0"/>
              <w:jc w:val="left"/>
              <w:rPr>
                <w:rFonts w:ascii="arial" w:hAnsi="arial"/>
                <w:sz w:val="20"/>
              </w:rPr>
            </w:pPr>
            <w:r>
              <w:rPr>
                <w:rFonts w:ascii="arial" w:hAnsi="arial"/>
                <w:sz w:val="20"/>
              </w:rPr>
              <w:t>Bradley K. Blackwell</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66" w:type="dxa"/>
            <w:tcBorders>
              <w:bottom w:val="single" w:sz="6" w:space="0" w:color="B99C16"/>
            </w:tcBorders>
            <w:tcMar>
              <w:bottom w:w="40" w:type="dxa"/>
            </w:tcMar>
            <w:vAlign w:val="center"/>
          </w:tcPr>
          <w:p>
            <w:pPr>
              <w:pStyle w:val="TableContents"/>
              <w:bidi w:val="0"/>
              <w:spacing w:before="0" w:after="283"/>
              <w:jc w:val="left"/>
              <w:rPr/>
            </w:pPr>
            <w:r>
              <w:rPr/>
              <w:t> </w:t>
            </w:r>
          </w:p>
        </w:tc>
        <w:tc>
          <w:tcPr>
            <w:tcW w:w="724" w:type="dxa"/>
            <w:tcBorders>
              <w:bottom w:val="single" w:sz="6" w:space="0" w:color="B99C16"/>
            </w:tcBorders>
            <w:tcMar>
              <w:bottom w:w="40" w:type="dxa"/>
            </w:tcMar>
            <w:vAlign w:val="center"/>
          </w:tcPr>
          <w:p>
            <w:pPr>
              <w:pStyle w:val="TableContents"/>
              <w:bidi w:val="0"/>
              <w:spacing w:before="0" w:after="283"/>
              <w:jc w:val="right"/>
              <w:rPr/>
            </w:pPr>
            <w:r>
              <w:rPr/>
              <w:t>3x</w:t>
            </w:r>
          </w:p>
        </w:tc>
        <w:tc>
          <w:tcPr>
            <w:tcW w:w="60" w:type="dxa"/>
            <w:tcBorders>
              <w:bottom w:val="single" w:sz="6" w:space="0" w:color="B99C16"/>
            </w:tcBorders>
            <w:tcMar>
              <w:bottom w:w="4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805" w:type="dxa"/>
            <w:tcBorders>
              <w:bottom w:val="single" w:sz="6" w:space="0" w:color="B99C16"/>
            </w:tcBorders>
            <w:tcMar>
              <w:bottom w:w="40" w:type="dxa"/>
            </w:tcMar>
            <w:vAlign w:val="center"/>
          </w:tcPr>
          <w:p>
            <w:pPr>
              <w:pStyle w:val="TableContents"/>
              <w:bidi w:val="0"/>
              <w:spacing w:before="0" w:after="0"/>
              <w:jc w:val="center"/>
              <w:rPr/>
            </w:pPr>
            <w:r>
              <w:rPr/>
              <w:t>✓</w:t>
            </w:r>
          </w:p>
        </w:tc>
      </w:tr>
    </w:tbl>
    <w:p>
      <w:pPr>
        <w:pStyle w:val="TextBody"/>
        <w:bidi w:val="0"/>
        <w:spacing w:before="0" w:after="0"/>
        <w:jc w:val="left"/>
        <w:rPr/>
      </w:pPr>
      <w:r>
        <w:rPr/>
        <w:t> </w:t>
      </w:r>
    </w:p>
    <w:tbl>
      <w:tblPr>
        <w:tblW w:w="2010" w:type="dxa"/>
        <w:jc w:val="left"/>
        <w:tblInd w:w="0" w:type="dxa"/>
        <w:tblLayout w:type="fixed"/>
        <w:tblCellMar>
          <w:top w:w="0" w:type="dxa"/>
          <w:left w:w="0" w:type="dxa"/>
          <w:bottom w:w="0" w:type="dxa"/>
          <w:right w:w="0" w:type="dxa"/>
        </w:tblCellMar>
      </w:tblPr>
      <w:tblGrid>
        <w:gridCol w:w="245"/>
        <w:gridCol w:w="60"/>
        <w:gridCol w:w="155"/>
        <w:gridCol w:w="60"/>
        <w:gridCol w:w="149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21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Met guidelines.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0"/>
        <w:jc w:val="left"/>
        <w:rPr>
          <w:rFonts w:ascii="arial" w:hAnsi="arial"/>
          <w:b/>
          <w:color w:val="004876"/>
          <w:sz w:val="20"/>
        </w:rPr>
      </w:pPr>
      <w:r>
        <w:rPr>
          <w:rFonts w:ascii="arial" w:hAnsi="arial"/>
          <w:b/>
          <w:color w:val="004876"/>
          <w:sz w:val="20"/>
        </w:rPr>
        <w:t xml:space="preserve">Anti-Hedging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20"/>
        </w:rPr>
      </w:pPr>
      <w:r>
        <w:rPr>
          <w:rFonts w:ascii="arial" w:hAnsi="arial"/>
          <w:sz w:val="20"/>
        </w:rPr>
        <w:t>Under the terms of the Company’s Insider Trading Policy, our directors, officers and other employees are prohibited from engaging in hedging and monetization transactions and transactions that involve exchange-traded options or short sales of the Company’s securities. Because hedging transactions might permit a director, officer or other employee to continue to own our securities without the full rewards and risks of ownership, such hedging transactions are prohibited.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0"/>
        <w:jc w:val="left"/>
        <w:rPr>
          <w:rFonts w:ascii="arial" w:hAnsi="arial"/>
          <w:b/>
          <w:color w:val="004876"/>
          <w:sz w:val="20"/>
        </w:rPr>
      </w:pPr>
      <w:r>
        <w:rPr>
          <w:rFonts w:ascii="arial" w:hAnsi="arial"/>
          <w:b/>
          <w:color w:val="004876"/>
          <w:sz w:val="20"/>
        </w:rPr>
        <w:t xml:space="preserve">Anti-Pledging and Margin Accounts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20"/>
        </w:rPr>
      </w:pPr>
      <w:r>
        <w:rPr>
          <w:rFonts w:ascii="arial" w:hAnsi="arial"/>
          <w:sz w:val="20"/>
        </w:rPr>
        <w:t xml:space="preserve">Under the terms of the Company’s Insider Trading Policy, our directors and officers are prohibited from pledging Company securities or holding Company securities in a margin account. A margin or foreclosure sale that occurs while a director or officer is aware of material </w:t>
      </w:r>
    </w:p>
    <w:p>
      <w:pPr>
        <w:pStyle w:val="TextBody"/>
        <w:bidi w:val="0"/>
        <w:spacing w:before="120" w:after="0"/>
        <w:jc w:val="left"/>
        <w:rPr>
          <w:rFonts w:ascii="arial" w:hAnsi="arial"/>
          <w:sz w:val="20"/>
        </w:rPr>
      </w:pPr>
      <w:r>
        <w:rPr>
          <w:rFonts w:ascii="arial" w:hAnsi="arial"/>
          <w:sz w:val="20"/>
        </w:rPr>
        <w:t>non-public</w:t>
      </w:r>
    </w:p>
    <w:p>
      <w:pPr>
        <w:pStyle w:val="TextBody"/>
        <w:bidi w:val="0"/>
        <w:spacing w:before="120" w:after="0"/>
        <w:jc w:val="left"/>
        <w:rPr>
          <w:rFonts w:ascii="arial" w:hAnsi="arial"/>
          <w:sz w:val="20"/>
        </w:rPr>
      </w:pPr>
      <w:r>
        <w:rPr>
          <w:rFonts w:ascii="arial" w:hAnsi="arial"/>
          <w:sz w:val="20"/>
        </w:rPr>
        <w:t xml:space="preserve">information may, under some circumstances, result in unlawful insider trading. Accordingly, pledging Company securities or holding Company securities in a margin account by our directors or officers are prohibited.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8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8" descr=""/>
                          <pic:cNvPicPr>
                            <a:picLocks noChangeAspect="1" noChangeArrowheads="1"/>
                          </pic:cNvPicPr>
                        </pic:nvPicPr>
                        <pic:blipFill>
                          <a:blip r:embed="rId79"/>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39</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color w:val="004876"/>
          <w:sz w:val="20"/>
        </w:rPr>
      </w:pPr>
      <w:r>
        <w:rPr>
          <w:rFonts w:ascii="arial" w:hAnsi="arial"/>
          <w:b/>
          <w:color w:val="004876"/>
          <w:sz w:val="20"/>
        </w:rPr>
        <w:t xml:space="preserve">Clawback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20"/>
        </w:rPr>
      </w:pPr>
      <w:r>
        <w:rPr>
          <w:rFonts w:ascii="arial" w:hAnsi="arial"/>
          <w:sz w:val="20"/>
        </w:rPr>
        <w:t xml:space="preserve">Under the terms of the Company’s Policy on Recoupment of Incentive Compensation, the NEOs’ incentive compensation is subject to “clawback” in the event of a restatement of the Company’s financial statements due to material noncompliance,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Upon any such restatement, the amount to be recovered shall be the excess of the incentive-based compensation received by the NEO during the three fiscal years prior to the restatement based on the erroneous data and calculated without regard to any taxes paid or withheld, over the incentive-based compensation that would have been received by the NEO had it been calculated based on the restated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0"/>
        <w:jc w:val="left"/>
        <w:rPr>
          <w:rFonts w:ascii="arial" w:hAnsi="arial"/>
          <w:b/>
          <w:color w:val="004876"/>
          <w:sz w:val="20"/>
        </w:rPr>
      </w:pPr>
      <w:r>
        <w:rPr>
          <w:rFonts w:ascii="arial" w:hAnsi="arial"/>
          <w:b/>
          <w:color w:val="004876"/>
          <w:sz w:val="20"/>
        </w:rPr>
        <w:t xml:space="preserve">Deferred Compensation and Other Benefits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20"/>
        </w:rPr>
      </w:pPr>
      <w:r>
        <w:rPr>
          <w:rFonts w:ascii="arial" w:hAnsi="arial"/>
          <w:sz w:val="20"/>
        </w:rPr>
        <w:t xml:space="preserve">The Company’s philosophy is to provide retirement and savings benefits to executives which are commonly provided by other public companies. The benefits available to executives include: </w:t>
      </w:r>
    </w:p>
    <w:p>
      <w:pPr>
        <w:pStyle w:val="TextBody"/>
        <w:bidi w:val="0"/>
        <w:spacing w:before="240" w:after="0"/>
        <w:jc w:val="left"/>
        <w:rPr>
          <w:rFonts w:ascii="arial" w:hAnsi="arial"/>
          <w:b/>
          <w:i/>
          <w:sz w:val="20"/>
        </w:rPr>
      </w:pPr>
      <w:r>
        <w:rPr>
          <w:rFonts w:ascii="arial" w:hAnsi="arial"/>
          <w:b/>
          <w:i/>
          <w:sz w:val="20"/>
        </w:rPr>
        <w:t>401(k).</w:t>
      </w:r>
    </w:p>
    <w:p>
      <w:pPr>
        <w:pStyle w:val="TextBody"/>
        <w:bidi w:val="0"/>
        <w:spacing w:before="240" w:after="0"/>
        <w:jc w:val="left"/>
        <w:rPr>
          <w:rFonts w:ascii="arial" w:hAnsi="arial"/>
          <w:sz w:val="20"/>
        </w:rPr>
      </w:pPr>
      <w:r>
        <w:rPr>
          <w:rFonts w:ascii="arial" w:hAnsi="arial"/>
          <w:sz w:val="20"/>
        </w:rPr>
        <w:t xml:space="preserve">The Company maintains the Churchill Downs Incorporated 401(k) Retirement Plan (the “401(k) Retirement Plan”), which is a profit sharing plan that is intended to be a qualified retirement plan under Section 401(a) of the Internal Revenue Code (the “Code”). The 401(k) Retirement Plan allows all employees who meet the eligibility requirements to become participants. Participants may make salary deferral contributions pursuant to Section 401(k) of the Code up to limits prescribed by the plan and the Code. The Company makes matching contributions with respect to such salary deferrals at a rate of 100% on the first 3% of compensation deferred and 50% on deferrals in excess of 3% of compensation deferred but no more than 5% of compensation deferred. Salary deferral contributions and matching contributions are fully vested at all times. Participants are allowed to direct investment of their accounts under the 401(k) Retirement Plan into as many as 27 investment options. All assets of the 401(k) Retirement Plan are held in a trust that is intended to be qualified under Section 501 of the Code. </w:t>
      </w:r>
    </w:p>
    <w:p>
      <w:pPr>
        <w:pStyle w:val="TextBody"/>
        <w:bidi w:val="0"/>
        <w:spacing w:before="240" w:after="0"/>
        <w:jc w:val="left"/>
        <w:rPr>
          <w:rFonts w:ascii="arial" w:hAnsi="arial"/>
          <w:b/>
          <w:i/>
          <w:sz w:val="20"/>
        </w:rPr>
      </w:pPr>
      <w:r>
        <w:rPr>
          <w:rFonts w:ascii="arial" w:hAnsi="arial"/>
          <w:b/>
          <w:i/>
          <w:sz w:val="20"/>
        </w:rPr>
        <w:t>Equity Award Deferral Plan.</w:t>
      </w:r>
    </w:p>
    <w:p>
      <w:pPr>
        <w:pStyle w:val="TextBody"/>
        <w:bidi w:val="0"/>
        <w:spacing w:before="240" w:after="0"/>
        <w:jc w:val="left"/>
        <w:rPr>
          <w:rFonts w:ascii="arial" w:hAnsi="arial"/>
          <w:sz w:val="20"/>
        </w:rPr>
      </w:pPr>
      <w:r>
        <w:rPr>
          <w:rFonts w:ascii="arial" w:hAnsi="arial"/>
          <w:sz w:val="20"/>
        </w:rPr>
        <w:t xml:space="preserve">The Company maintains the Amended and Restated Churchill Downs Incorporated Equity Award Deferral Plan (the “Deferral Plan”). Under the Deferral Plan, certain individual employees who are management or highly compensated employees of the Company may elect to defer settlement of equity awards granted to them pursuant to the 2016 Plan or the Churchill Downs Incorporated 2025 Omnibus Stock and Incentive Plan (the “2025 Plan”) that are due to be earned and that would otherwise be settled with respect to a given year pursuant to the terms of an equity award agreement between the Company and such employees. The Deferral Plan permits participants approved by the Committee to elect to have their earnings on their balances under the plan be calculated based on deemed investment allocations other than notional investments in Company Common Stock. </w:t>
      </w:r>
    </w:p>
    <w:p>
      <w:pPr>
        <w:pStyle w:val="TextBody"/>
        <w:bidi w:val="0"/>
        <w:spacing w:before="240" w:after="0"/>
        <w:jc w:val="left"/>
        <w:rPr>
          <w:rFonts w:ascii="arial" w:hAnsi="arial"/>
          <w:sz w:val="20"/>
        </w:rPr>
      </w:pPr>
      <w:r>
        <w:rPr>
          <w:rFonts w:ascii="arial" w:hAnsi="arial"/>
          <w:sz w:val="20"/>
        </w:rPr>
        <w:t xml:space="preserve">Please see the 2025 Nonqualified Deferred Compensation Table, on page 47, and the accompanying narrative below for further information regarding the Deferral Plan. </w:t>
      </w:r>
    </w:p>
    <w:p>
      <w:pPr>
        <w:pStyle w:val="TextBody"/>
        <w:bidi w:val="0"/>
        <w:spacing w:before="240" w:after="0"/>
        <w:jc w:val="left"/>
        <w:rPr>
          <w:rFonts w:ascii="arial" w:hAnsi="arial"/>
          <w:b/>
          <w:i/>
          <w:sz w:val="20"/>
        </w:rPr>
      </w:pPr>
      <w:r>
        <w:rPr>
          <w:rFonts w:ascii="arial" w:hAnsi="arial"/>
          <w:b/>
          <w:i/>
          <w:sz w:val="20"/>
        </w:rPr>
        <w:t>Allowances and Other Benefits.</w:t>
      </w:r>
    </w:p>
    <w:p>
      <w:pPr>
        <w:pStyle w:val="TextBody"/>
        <w:bidi w:val="0"/>
        <w:spacing w:before="240" w:after="0"/>
        <w:jc w:val="left"/>
        <w:rPr>
          <w:rFonts w:ascii="arial" w:hAnsi="arial"/>
          <w:sz w:val="20"/>
        </w:rPr>
      </w:pPr>
      <w:r>
        <w:rPr>
          <w:rFonts w:ascii="arial" w:hAnsi="arial"/>
          <w:sz w:val="20"/>
        </w:rPr>
        <w:t xml:space="preserve">The Company’s standard, </w:t>
      </w:r>
    </w:p>
    <w:p>
      <w:pPr>
        <w:pStyle w:val="TextBody"/>
        <w:bidi w:val="0"/>
        <w:spacing w:before="240" w:after="0"/>
        <w:jc w:val="left"/>
        <w:rPr>
          <w:rFonts w:ascii="arial" w:hAnsi="arial"/>
          <w:sz w:val="20"/>
        </w:rPr>
      </w:pPr>
      <w:r>
        <w:rPr>
          <w:rFonts w:ascii="arial" w:hAnsi="arial"/>
          <w:sz w:val="20"/>
        </w:rPr>
        <w:t>non-cash</w:t>
      </w:r>
    </w:p>
    <w:p>
      <w:pPr>
        <w:pStyle w:val="TextBody"/>
        <w:bidi w:val="0"/>
        <w:spacing w:before="240" w:after="0"/>
        <w:jc w:val="left"/>
        <w:rPr>
          <w:rFonts w:ascii="arial" w:hAnsi="arial"/>
          <w:sz w:val="20"/>
        </w:rPr>
      </w:pPr>
      <w:r>
        <w:rPr>
          <w:rFonts w:ascii="arial" w:hAnsi="arial"/>
          <w:sz w:val="20"/>
        </w:rPr>
        <w:t xml:space="preserve">executive benefits are Company-paid premiums on executive term life insurance and an optional supplemental long-term disability income plan for each NEO. These plans provide benefits which are similar to those provided to eligible employees, but extend the benefit levels to reflect the income of the executive officers. </w:t>
      </w:r>
    </w:p>
    <w:p>
      <w:pPr>
        <w:pStyle w:val="TextBody"/>
        <w:bidi w:val="0"/>
        <w:spacing w:before="240" w:after="0"/>
        <w:jc w:val="left"/>
        <w:rPr>
          <w:rFonts w:ascii="arial" w:hAnsi="arial"/>
          <w:sz w:val="20"/>
        </w:rPr>
      </w:pPr>
      <w:r>
        <w:rPr>
          <w:rFonts w:ascii="arial" w:hAnsi="arial"/>
          <w:sz w:val="20"/>
        </w:rPr>
        <w:t xml:space="preserve">To address safety concerns, our Board of Directors approved a requirement that our CEO and his spouse use Company-owned aircraft for all air travel, including both business travel and personal travel. Additionally, for security and time-management reasons, certain other NEOs of the Company may occasionally travel on corporate aircraft for personal reasons. We report the incremental costs to the Company of such use in the 2025 Summary Compensation Table. Occasionally, a spouse or other guest may accompany executive officers on corporate aircraft when the aircraft is already scheduled for business purposes and can accommodate additional passengers. In those cases, there is no aggregate incremental cost to the Company and, as a result, no amount is reflected in the 2025 Summary Compensation Table for such instances. </w:t>
      </w:r>
    </w:p>
    <w:p>
      <w:pPr>
        <w:pStyle w:val="TextBody"/>
        <w:bidi w:val="0"/>
        <w:spacing w:before="240" w:after="0"/>
        <w:jc w:val="left"/>
        <w:rPr>
          <w:rFonts w:ascii="arial" w:hAnsi="arial"/>
          <w:sz w:val="20"/>
        </w:rPr>
      </w:pPr>
      <w:r>
        <w:rPr>
          <w:rFonts w:ascii="arial" w:hAnsi="arial"/>
          <w:sz w:val="20"/>
        </w:rPr>
        <w:t xml:space="preserve">Additionally, we also provide certain security services to our CEO. The Committee believes these expenses are for the Company’s benefit and are an integral part of our risk management program to address potential security concerns. However, because these expenses may be viewed as conveying a personal benefit to our CEO, SEC disclosure rules require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40</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8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9" descr=""/>
                          <pic:cNvPicPr>
                            <a:picLocks noChangeAspect="1" noChangeArrowheads="1"/>
                          </pic:cNvPicPr>
                        </pic:nvPicPr>
                        <pic:blipFill>
                          <a:blip r:embed="rId80"/>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Compensation Discussion and Analysis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that we include these expenses in the total value of personal benefits paid to our CEO, and the aggregate incremental costs of the Company for these expenses are accordingly reported in the “All Other Compensation” column of the 2025 Summary Compensation Table. </w:t>
      </w:r>
    </w:p>
    <w:p>
      <w:pPr>
        <w:pStyle w:val="TextBody"/>
        <w:bidi w:val="0"/>
        <w:spacing w:before="240" w:after="0"/>
        <w:jc w:val="left"/>
        <w:rPr>
          <w:rFonts w:ascii="arial" w:hAnsi="arial"/>
          <w:sz w:val="20"/>
        </w:rPr>
      </w:pPr>
      <w:r>
        <w:rPr>
          <w:rFonts w:ascii="arial" w:hAnsi="arial"/>
          <w:b/>
          <w:i/>
          <w:sz w:val="20"/>
        </w:rPr>
        <w:t>Post-Termination Arrangements.</w:t>
      </w:r>
      <w:r>
        <w:rPr>
          <w:rFonts w:ascii="arial" w:hAnsi="arial"/>
          <w:sz w:val="20"/>
        </w:rPr>
        <w:t xml:space="preserve"> The Committee believes that arrangements that provide benefits upon termination or a change in control of the Company support the goals of attracting and retaining qualified executives. Such benefits include clarifying the terms of employment and reducing the risks to the executive where the executive believes that either the Company may undergo a merger or be acquired. In addition, the Committee believes that such agreements align the interests of executives with the interests of shareholders if a qualified offer to acquire the Company is made, in that each of the executives would likely be aware of or involved in any such negotiation and it is to the benefit of shareholders to have the executives negotiating in the best interests of the Company without regard to their personal financial interests. The Committee has adopted forms of Executive Change in Control, Severance and Indemnity Agreements (the “Change in Control Agreements”) applicable to the NEOs. The terms of the Change in Control Agreements were determined after considering market data and the input of the Committee’s independent compensation consultant at the time. The Change in Control Agreements provide, subject to the Company receiving a general release of claims from the executive, severance benefits in the event the executive’s employment is terminated (i) by the Company other than for “Cause” (as defined in the Change in Control Agreements) or due to “Disability” (as defined in the Change in Control Agreements) or death or (ii) by the executive for “Good Reason” (as defined in the Change in Control Agreement), with enhanced benefits for a termination in connection with a “Change in Control” (as defined in the Change in Control Agreement). All equity-based awards in effect at the time of termination for the aforementioned reasons will remain governed by the applicable plan or award agreement. The Change in Control Agreements do not provide for any tax gross-ups for excise taxes payable following a Change in Control. </w:t>
      </w:r>
    </w:p>
    <w:p>
      <w:pPr>
        <w:pStyle w:val="TextBody"/>
        <w:bidi w:val="0"/>
        <w:spacing w:before="240" w:after="0"/>
        <w:jc w:val="left"/>
        <w:rPr>
          <w:rFonts w:ascii="arial" w:hAnsi="arial"/>
          <w:sz w:val="20"/>
        </w:rPr>
      </w:pPr>
      <w:r>
        <w:rPr>
          <w:rFonts w:ascii="arial" w:hAnsi="arial"/>
          <w:sz w:val="20"/>
        </w:rPr>
        <w:t xml:space="preserve">In connection with the announcement of her retirement, Ms. Adams entered into a Memorandum of Understanding with the Company, which provided for (i) a 2025 bonus under the EAIP, with payout determined based on actual performance for the year, (ii) continued vesting with respect to her outstanding RSU awards and PSU awards as if she remained employed with the Company through the last applicable vesting date and based on actual performance with respect to her PSU awards, (iii) a retention payment of $550,000, subject to her continued employment through December 31, 2025, and (iv) the termination of her Change in Control Agreement. The Company entered into the Memorandum of Understanding to induce Ms. Adams to remain with the Company through December 31, 2025 to allow for an orderly transition of her responsibilities and to minimize disruption within the organization. </w:t>
      </w:r>
    </w:p>
    <w:p>
      <w:pPr>
        <w:pStyle w:val="TextBody"/>
        <w:bidi w:val="0"/>
        <w:spacing w:before="240" w:after="0"/>
        <w:jc w:val="left"/>
        <w:rPr>
          <w:rFonts w:ascii="arial" w:hAnsi="arial"/>
          <w:sz w:val="20"/>
        </w:rPr>
      </w:pPr>
      <w:r>
        <w:rPr>
          <w:rFonts w:ascii="arial" w:hAnsi="arial"/>
          <w:sz w:val="20"/>
        </w:rPr>
        <w:t xml:space="preserve">Please see the “Potential Payments Upon Termination or Change of Control” section for a summary of the severance benefits payable to the NEOs under their applicable Change in Control Agreements. </w:t>
      </w:r>
    </w:p>
    <w:p>
      <w:pPr>
        <w:pStyle w:val="TextBody"/>
        <w:bidi w:val="0"/>
        <w:spacing w:before="360" w:after="0"/>
        <w:jc w:val="left"/>
        <w:rPr>
          <w:rFonts w:ascii="arial" w:hAnsi="arial"/>
          <w:b/>
          <w:color w:val="004876"/>
          <w:sz w:val="20"/>
        </w:rPr>
      </w:pPr>
      <w:bookmarkStart w:id="62" w:name="toc123994_53"/>
      <w:bookmarkStart w:id="63" w:name="txa123994_18"/>
      <w:bookmarkEnd w:id="62"/>
      <w:bookmarkEnd w:id="63"/>
      <w:r>
        <w:rPr>
          <w:rFonts w:ascii="arial" w:hAnsi="arial"/>
          <w:b/>
          <w:color w:val="004876"/>
          <w:sz w:val="20"/>
        </w:rPr>
        <w:t xml:space="preserve">Compensation Committee Report </w:t>
      </w:r>
    </w:p>
    <w:p>
      <w:pPr>
        <w:pStyle w:val="TextBody"/>
        <w:bidi w:val="0"/>
        <w:spacing w:before="120" w:after="0"/>
        <w:jc w:val="left"/>
        <w:rPr>
          <w:rFonts w:ascii="arial" w:hAnsi="arial"/>
          <w:sz w:val="20"/>
        </w:rPr>
      </w:pPr>
      <w:r>
        <w:rPr>
          <w:rFonts w:ascii="arial" w:hAnsi="arial"/>
          <w:sz w:val="20"/>
        </w:rPr>
        <w:t xml:space="preserve">The Committee has reviewed and discussed the information appearing above under the heading “Compensation Discussion and Analysis” with management and, based on that review and discussion, has recommended to the Board of Directors that the “Compensation Discussion and Analysis” section be included in this Proxy Statement and the Company’s Annual Report on Form 10-K for the fiscal year ending December 31, 2025. </w:t>
      </w:r>
    </w:p>
    <w:p>
      <w:pPr>
        <w:pStyle w:val="TextBody"/>
        <w:bidi w:val="0"/>
        <w:spacing w:before="360" w:after="0"/>
        <w:jc w:val="left"/>
        <w:rPr>
          <w:rFonts w:ascii="arial" w:hAnsi="arial"/>
          <w:sz w:val="20"/>
        </w:rPr>
      </w:pPr>
      <w:r>
        <w:rPr>
          <w:rFonts w:ascii="arial" w:hAnsi="arial"/>
          <w:sz w:val="20"/>
        </w:rPr>
        <w:t xml:space="preserve">Compensation Committee of the Board of Directors: </w:t>
      </w:r>
    </w:p>
    <w:p>
      <w:pPr>
        <w:pStyle w:val="TextBody"/>
        <w:bidi w:val="0"/>
        <w:spacing w:before="240" w:after="0"/>
        <w:jc w:val="left"/>
        <w:rPr>
          <w:rFonts w:ascii="arial" w:hAnsi="arial"/>
          <w:b/>
          <w:sz w:val="20"/>
        </w:rPr>
      </w:pPr>
      <w:r>
        <w:rPr>
          <w:rFonts w:ascii="arial" w:hAnsi="arial"/>
          <w:b/>
          <w:sz w:val="20"/>
        </w:rPr>
        <w:t xml:space="preserve">Daniel P. Harrington, Chair </w:t>
      </w:r>
    </w:p>
    <w:p>
      <w:pPr>
        <w:pStyle w:val="TextBody"/>
        <w:bidi w:val="0"/>
        <w:spacing w:before="0" w:after="0"/>
        <w:jc w:val="left"/>
        <w:rPr>
          <w:rFonts w:ascii="arial" w:hAnsi="arial"/>
          <w:b/>
          <w:sz w:val="20"/>
        </w:rPr>
      </w:pPr>
      <w:r>
        <w:rPr>
          <w:rFonts w:ascii="arial" w:hAnsi="arial"/>
          <w:b/>
          <w:sz w:val="20"/>
        </w:rPr>
        <w:t xml:space="preserve">Douglas C. Grissom </w:t>
      </w:r>
    </w:p>
    <w:p>
      <w:pPr>
        <w:pStyle w:val="TextBody"/>
        <w:bidi w:val="0"/>
        <w:spacing w:before="0" w:after="0"/>
        <w:jc w:val="left"/>
        <w:rPr>
          <w:rFonts w:ascii="arial" w:hAnsi="arial"/>
          <w:b/>
          <w:sz w:val="20"/>
        </w:rPr>
      </w:pPr>
      <w:r>
        <w:rPr>
          <w:rFonts w:ascii="arial" w:hAnsi="arial"/>
          <w:b/>
          <w:sz w:val="20"/>
        </w:rPr>
        <w:t xml:space="preserve">Andréa Carter </w:t>
      </w:r>
    </w:p>
    <w:p>
      <w:pPr>
        <w:pStyle w:val="TextBody"/>
        <w:bidi w:val="0"/>
        <w:spacing w:before="0" w:after="0"/>
        <w:jc w:val="left"/>
        <w:rPr>
          <w:rFonts w:ascii="arial" w:hAnsi="arial"/>
          <w:b/>
          <w:sz w:val="20"/>
        </w:rPr>
      </w:pPr>
      <w:r>
        <w:rPr>
          <w:rFonts w:ascii="arial" w:hAnsi="arial"/>
          <w:b/>
          <w:sz w:val="20"/>
        </w:rPr>
        <w:t xml:space="preserve">Paul C. Varga </w:t>
      </w:r>
    </w:p>
    <w:p>
      <w:pPr>
        <w:pStyle w:val="TextBody"/>
        <w:bidi w:val="0"/>
        <w:spacing w:before="0" w:after="0"/>
        <w:jc w:val="left"/>
        <w:rPr>
          <w:rFonts w:ascii="arial" w:hAnsi="arial"/>
          <w:b/>
          <w:sz w:val="20"/>
        </w:rPr>
      </w:pPr>
      <w:r>
        <w:rPr>
          <w:rFonts w:ascii="arial" w:hAnsi="arial"/>
          <w:b/>
          <w:sz w:val="20"/>
        </w:rPr>
        <w:t xml:space="preserve">R. Alex Rankin, ex officio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8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0" descr=""/>
                          <pic:cNvPicPr>
                            <a:picLocks noChangeAspect="1" noChangeArrowheads="1"/>
                          </pic:cNvPicPr>
                        </pic:nvPicPr>
                        <pic:blipFill>
                          <a:blip r:embed="rId81"/>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41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2025 Summary Compensation Table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9696" w:type="dxa"/>
        <w:jc w:val="left"/>
        <w:tblInd w:w="0" w:type="dxa"/>
        <w:tblLayout w:type="fixed"/>
        <w:tblCellMar>
          <w:top w:w="0" w:type="dxa"/>
          <w:left w:w="0" w:type="dxa"/>
          <w:bottom w:w="0" w:type="dxa"/>
          <w:right w:w="0" w:type="dxa"/>
        </w:tblCellMar>
      </w:tblPr>
      <w:tblGrid>
        <w:gridCol w:w="75"/>
        <w:gridCol w:w="23"/>
        <w:gridCol w:w="23"/>
        <w:gridCol w:w="60"/>
        <w:gridCol w:w="9515"/>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15"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arial" w:hAnsi="arial"/>
                <w:b/>
                <w:color w:val="004876"/>
                <w:sz w:val="48"/>
              </w:rPr>
            </w:pPr>
            <w:bookmarkStart w:id="64" w:name="toc123994_54"/>
            <w:bookmarkEnd w:id="64"/>
            <w:r>
              <w:rPr>
                <w:rFonts w:ascii="arial" w:hAnsi="arial"/>
                <w:b/>
                <w:color w:val="004876"/>
                <w:sz w:val="48"/>
              </w:rPr>
              <w:t>2025 SUMMARY COMPENSATION TABLE</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The following table provides information regarding compensation earned by our Chief Executive Officer, President &amp; Chief Operating Officer, Executive Vice President and Chief Financial Officer, Executive Vice President and General Counsel and Executive Vice President, Gaming Operations (sometimes referred to in this proxy statement as the “Named Executive Officers” or “NEOs”) in 2025, 2024 and 2023. </w:t>
      </w:r>
    </w:p>
    <w:p>
      <w:pPr>
        <w:pStyle w:val="TextBody"/>
        <w:bidi w:val="0"/>
        <w:spacing w:before="0" w:after="0"/>
        <w:jc w:val="left"/>
        <w:rPr/>
      </w:pPr>
      <w:r>
        <w:rPr/>
        <w:t> </w:t>
      </w:r>
    </w:p>
    <w:tbl>
      <w:tblPr>
        <w:tblW w:w="11125" w:type="dxa"/>
        <w:jc w:val="left"/>
        <w:tblInd w:w="0" w:type="dxa"/>
        <w:tblLayout w:type="fixed"/>
        <w:tblCellMar>
          <w:top w:w="0" w:type="dxa"/>
          <w:left w:w="0" w:type="dxa"/>
          <w:bottom w:w="0" w:type="dxa"/>
          <w:right w:w="0" w:type="dxa"/>
        </w:tblCellMar>
      </w:tblPr>
      <w:tblGrid>
        <w:gridCol w:w="2195"/>
        <w:gridCol w:w="120"/>
        <w:gridCol w:w="60"/>
        <w:gridCol w:w="500"/>
        <w:gridCol w:w="60"/>
        <w:gridCol w:w="120"/>
        <w:gridCol w:w="60"/>
        <w:gridCol w:w="980"/>
        <w:gridCol w:w="60"/>
        <w:gridCol w:w="120"/>
        <w:gridCol w:w="875"/>
        <w:gridCol w:w="60"/>
        <w:gridCol w:w="60"/>
        <w:gridCol w:w="1100"/>
        <w:gridCol w:w="60"/>
        <w:gridCol w:w="120"/>
        <w:gridCol w:w="85"/>
        <w:gridCol w:w="1405"/>
        <w:gridCol w:w="60"/>
        <w:gridCol w:w="120"/>
        <w:gridCol w:w="103"/>
        <w:gridCol w:w="1387"/>
        <w:gridCol w:w="60"/>
        <w:gridCol w:w="120"/>
        <w:gridCol w:w="60"/>
        <w:gridCol w:w="1100"/>
        <w:gridCol w:w="75"/>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95" w:type="dxa"/>
            <w:tcBorders/>
            <w:shd w:fill="004876" w:val="clear"/>
            <w:vAlign w:val="center"/>
          </w:tcPr>
          <w:p>
            <w:pPr>
              <w:pStyle w:val="TableContents"/>
              <w:bidi w:val="0"/>
              <w:spacing w:before="0" w:after="283"/>
              <w:jc w:val="left"/>
              <w:rPr>
                <w:sz w:val="4"/>
                <w:szCs w:val="4"/>
              </w:rPr>
            </w:pPr>
            <w:r>
              <w:rPr>
                <w:sz w:val="4"/>
                <w:szCs w:val="4"/>
              </w:rPr>
            </w:r>
          </w:p>
        </w:tc>
        <w:tc>
          <w:tcPr>
            <w:tcW w:w="740" w:type="dxa"/>
            <w:gridSpan w:val="4"/>
            <w:tcBorders/>
            <w:shd w:fill="004876" w:val="clear"/>
            <w:vAlign w:val="center"/>
          </w:tcPr>
          <w:p>
            <w:pPr>
              <w:pStyle w:val="TableContents"/>
              <w:bidi w:val="0"/>
              <w:spacing w:before="0" w:after="283"/>
              <w:jc w:val="left"/>
              <w:rPr>
                <w:sz w:val="4"/>
                <w:szCs w:val="4"/>
              </w:rPr>
            </w:pPr>
            <w:r>
              <w:rPr>
                <w:sz w:val="4"/>
                <w:szCs w:val="4"/>
              </w:rPr>
            </w:r>
          </w:p>
        </w:tc>
        <w:tc>
          <w:tcPr>
            <w:tcW w:w="1220" w:type="dxa"/>
            <w:gridSpan w:val="4"/>
            <w:tcBorders/>
            <w:shd w:fill="004876" w:val="clear"/>
            <w:vAlign w:val="center"/>
          </w:tcPr>
          <w:p>
            <w:pPr>
              <w:pStyle w:val="TableContents"/>
              <w:bidi w:val="0"/>
              <w:spacing w:before="0" w:after="283"/>
              <w:jc w:val="left"/>
              <w:rPr>
                <w:sz w:val="4"/>
                <w:szCs w:val="4"/>
              </w:rPr>
            </w:pPr>
            <w:r>
              <w:rPr>
                <w:sz w:val="4"/>
                <w:szCs w:val="4"/>
              </w:rPr>
            </w:r>
          </w:p>
        </w:tc>
        <w:tc>
          <w:tcPr>
            <w:tcW w:w="995" w:type="dxa"/>
            <w:gridSpan w:val="2"/>
            <w:tcBorders/>
            <w:shd w:fill="004876" w:val="clear"/>
            <w:vAlign w:val="center"/>
          </w:tcPr>
          <w:p>
            <w:pPr>
              <w:pStyle w:val="TableContents"/>
              <w:bidi w:val="0"/>
              <w:spacing w:before="0" w:after="283"/>
              <w:jc w:val="left"/>
              <w:rPr>
                <w:sz w:val="4"/>
                <w:szCs w:val="4"/>
              </w:rPr>
            </w:pPr>
            <w:r>
              <w:rPr>
                <w:sz w:val="4"/>
                <w:szCs w:val="4"/>
              </w:rPr>
            </w:r>
          </w:p>
        </w:tc>
        <w:tc>
          <w:tcPr>
            <w:tcW w:w="1280" w:type="dxa"/>
            <w:gridSpan w:val="4"/>
            <w:tcBorders/>
            <w:shd w:fill="004876" w:val="clear"/>
            <w:vAlign w:val="center"/>
          </w:tcPr>
          <w:p>
            <w:pPr>
              <w:pStyle w:val="TableContents"/>
              <w:bidi w:val="0"/>
              <w:spacing w:before="0" w:after="283"/>
              <w:jc w:val="left"/>
              <w:rPr>
                <w:sz w:val="4"/>
                <w:szCs w:val="4"/>
              </w:rPr>
            </w:pPr>
            <w:r>
              <w:rPr>
                <w:sz w:val="4"/>
                <w:szCs w:val="4"/>
              </w:rPr>
            </w:r>
          </w:p>
        </w:tc>
        <w:tc>
          <w:tcPr>
            <w:tcW w:w="1670" w:type="dxa"/>
            <w:gridSpan w:val="4"/>
            <w:tcBorders/>
            <w:shd w:fill="004876" w:val="clear"/>
            <w:vAlign w:val="center"/>
          </w:tcPr>
          <w:p>
            <w:pPr>
              <w:pStyle w:val="TableContents"/>
              <w:bidi w:val="0"/>
              <w:spacing w:before="0" w:after="283"/>
              <w:jc w:val="left"/>
              <w:rPr>
                <w:sz w:val="4"/>
                <w:szCs w:val="4"/>
              </w:rPr>
            </w:pPr>
            <w:r>
              <w:rPr>
                <w:sz w:val="4"/>
                <w:szCs w:val="4"/>
              </w:rPr>
            </w:r>
          </w:p>
        </w:tc>
        <w:tc>
          <w:tcPr>
            <w:tcW w:w="1670" w:type="dxa"/>
            <w:gridSpan w:val="4"/>
            <w:tcBorders/>
            <w:shd w:fill="004876" w:val="clear"/>
            <w:vAlign w:val="center"/>
          </w:tcPr>
          <w:p>
            <w:pPr>
              <w:pStyle w:val="TableContents"/>
              <w:bidi w:val="0"/>
              <w:spacing w:before="0" w:after="283"/>
              <w:jc w:val="left"/>
              <w:rPr>
                <w:sz w:val="4"/>
                <w:szCs w:val="4"/>
              </w:rPr>
            </w:pPr>
            <w:r>
              <w:rPr>
                <w:sz w:val="4"/>
                <w:szCs w:val="4"/>
              </w:rPr>
            </w:r>
          </w:p>
        </w:tc>
        <w:tc>
          <w:tcPr>
            <w:tcW w:w="1355" w:type="dxa"/>
            <w:gridSpan w:val="4"/>
            <w:tcBorders/>
            <w:shd w:fill="004876" w:val="clear"/>
            <w:vAlign w:val="center"/>
          </w:tcPr>
          <w:p>
            <w:pPr>
              <w:pStyle w:val="TableContents"/>
              <w:bidi w:val="0"/>
              <w:spacing w:before="0" w:after="283"/>
              <w:jc w:val="left"/>
              <w:rPr>
                <w:sz w:val="4"/>
                <w:szCs w:val="4"/>
              </w:rPr>
            </w:pPr>
            <w:r>
              <w:rPr>
                <w:sz w:val="4"/>
                <w:szCs w:val="4"/>
              </w:rPr>
            </w:r>
          </w:p>
        </w:tc>
      </w:tr>
      <w:tr>
        <w:trPr/>
        <w:tc>
          <w:tcPr>
            <w:tcW w:w="2195" w:type="dxa"/>
            <w:tcBorders>
              <w:bottom w:val="single" w:sz="6" w:space="0" w:color="004876"/>
            </w:tcBorders>
            <w:shd w:fill="004876" w:val="clear"/>
            <w:tcMar>
              <w:bottom w:w="12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Name and Principal Position</w:t>
            </w:r>
          </w:p>
        </w:tc>
        <w:tc>
          <w:tcPr>
            <w:tcW w:w="1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Year</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Base</w:t>
              <w:br/>
              <w:t>Salary</w:t>
              <w:br/>
              <w:t>($)</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875" w:type="dxa"/>
            <w:tcBorders>
              <w:bottom w:val="single" w:sz="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Bonus</w:t>
              <w:br/>
              <w:t>($)</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Stock</w:t>
              <w:br/>
              <w:t>Awards</w:t>
              <w:br/>
              <w:t>($)(1)</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490" w:type="dxa"/>
            <w:gridSpan w:val="2"/>
            <w:tcBorders>
              <w:bottom w:val="single" w:sz="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Non-Equity</w:t>
              <w:br/>
              <w:t>Incentive Plan</w:t>
              <w:br/>
              <w:t>Compensation</w:t>
              <w:br/>
              <w:t>($)(2)</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490" w:type="dxa"/>
            <w:gridSpan w:val="2"/>
            <w:tcBorders>
              <w:bottom w:val="single" w:sz="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All Other</w:t>
              <w:br/>
              <w:t>Compensation</w:t>
              <w:br/>
              <w:t>($)(3)</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Total</w:t>
              <w:br/>
              <w:t>($)</w:t>
            </w:r>
          </w:p>
        </w:tc>
        <w:tc>
          <w:tcPr>
            <w:tcW w:w="7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r>
      <w:tr>
        <w:trPr/>
        <w:tc>
          <w:tcPr>
            <w:tcW w:w="2195" w:type="dxa"/>
            <w:tcBorders/>
            <w:shd w:fill="F1EBD0" w:val="clear"/>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2195" w:type="dxa"/>
            <w:vMerge w:val="restart"/>
            <w:tcBorders>
              <w:bottom w:val="single" w:sz="8" w:space="0" w:color="B99C16"/>
            </w:tcBorders>
            <w:shd w:fill="F1EBD0" w:val="clear"/>
            <w:tcMar>
              <w:bottom w:w="28"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William C. Carstanjen</w:t>
            </w:r>
          </w:p>
          <w:p>
            <w:pPr>
              <w:pStyle w:val="TableContents"/>
              <w:bidi w:val="0"/>
              <w:spacing w:before="0" w:after="20"/>
              <w:jc w:val="left"/>
              <w:rPr/>
            </w:pPr>
            <w:r>
              <w:rPr/>
              <w:t> </w:t>
            </w:r>
            <w:r>
              <w:rPr>
                <w:rFonts w:ascii="arial" w:hAnsi="arial"/>
                <w:sz w:val="18"/>
              </w:rPr>
              <w:t>Chief Executive Officer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00" w:type="dxa"/>
            <w:tcBorders>
              <w:bottom w:val="single" w:sz="6" w:space="0" w:color="B99C16"/>
            </w:tcBorders>
            <w:tcMar>
              <w:bottom w:w="28" w:type="dxa"/>
            </w:tcMar>
            <w:vAlign w:val="center"/>
          </w:tcPr>
          <w:p>
            <w:pPr>
              <w:pStyle w:val="TableContents"/>
              <w:bidi w:val="0"/>
              <w:spacing w:before="0" w:after="283"/>
              <w:jc w:val="right"/>
              <w:rPr/>
            </w:pPr>
            <w:r>
              <w:rPr/>
              <w:t>2025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right"/>
              <w:rPr/>
            </w:pPr>
            <w:r>
              <w:rPr/>
              <w:t>1,800,000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75" w:type="dxa"/>
            <w:tcBorders>
              <w:bottom w:val="single" w:sz="6" w:space="0" w:color="B99C16"/>
            </w:tcBorders>
            <w:tcMar>
              <w:bottom w:w="28" w:type="dxa"/>
            </w:tcMar>
            <w:vAlign w:val="center"/>
          </w:tcPr>
          <w:p>
            <w:pPr>
              <w:pStyle w:val="TableContents"/>
              <w:bidi w:val="0"/>
              <w:spacing w:before="0" w:after="283"/>
              <w:jc w:val="center"/>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11,443,380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405" w:type="dxa"/>
            <w:tcBorders>
              <w:bottom w:val="single" w:sz="6" w:space="0" w:color="B99C16"/>
            </w:tcBorders>
            <w:tcMar>
              <w:bottom w:w="28" w:type="dxa"/>
            </w:tcMar>
            <w:vAlign w:val="center"/>
          </w:tcPr>
          <w:p>
            <w:pPr>
              <w:pStyle w:val="TableContents"/>
              <w:bidi w:val="0"/>
              <w:spacing w:before="0" w:after="283"/>
              <w:jc w:val="right"/>
              <w:rPr/>
            </w:pPr>
            <w:r>
              <w:rPr/>
              <w:t>5,763,331</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3" w:type="dxa"/>
            <w:tcBorders>
              <w:bottom w:val="single" w:sz="6" w:space="0" w:color="B99C16"/>
            </w:tcBorders>
            <w:tcMar>
              <w:bottom w:w="28" w:type="dxa"/>
            </w:tcMar>
            <w:vAlign w:val="center"/>
          </w:tcPr>
          <w:p>
            <w:pPr>
              <w:pStyle w:val="TableContents"/>
              <w:bidi w:val="0"/>
              <w:spacing w:before="0" w:after="283"/>
              <w:jc w:val="left"/>
              <w:rPr/>
            </w:pPr>
            <w:r>
              <w:rPr/>
              <w:t> </w:t>
            </w:r>
          </w:p>
        </w:tc>
        <w:tc>
          <w:tcPr>
            <w:tcW w:w="1387" w:type="dxa"/>
            <w:tcBorders>
              <w:bottom w:val="single" w:sz="6" w:space="0" w:color="B99C16"/>
            </w:tcBorders>
            <w:tcMar>
              <w:bottom w:w="28" w:type="dxa"/>
            </w:tcMar>
            <w:vAlign w:val="center"/>
          </w:tcPr>
          <w:p>
            <w:pPr>
              <w:pStyle w:val="TableContents"/>
              <w:bidi w:val="0"/>
              <w:spacing w:before="0" w:after="283"/>
              <w:jc w:val="right"/>
              <w:rPr/>
            </w:pPr>
            <w:r>
              <w:rPr/>
              <w:t>166,128</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19,172,839</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195" w:type="dxa"/>
            <w:vMerge w:val="continue"/>
            <w:tcBorders>
              <w:bottom w:val="single" w:sz="8" w:space="0" w:color="B99C16"/>
            </w:tcBorders>
            <w:shd w:fill="F1EBD0" w:val="clear"/>
            <w:tcMar>
              <w:bottom w:w="28" w:type="dxa"/>
            </w:tcMar>
            <w:vAlign w:val="center"/>
          </w:tcPr>
          <w:p>
            <w:pPr>
              <w:pStyle w:val="Normal"/>
              <w:bidi w:val="0"/>
              <w:jc w:val="left"/>
              <w:rPr/>
            </w:pPr>
            <w:r>
              <w:rPr/>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00" w:type="dxa"/>
            <w:tcBorders>
              <w:bottom w:val="single" w:sz="6" w:space="0" w:color="B99C16"/>
            </w:tcBorders>
            <w:tcMar>
              <w:bottom w:w="28" w:type="dxa"/>
            </w:tcMar>
            <w:vAlign w:val="center"/>
          </w:tcPr>
          <w:p>
            <w:pPr>
              <w:pStyle w:val="TableContents"/>
              <w:bidi w:val="0"/>
              <w:spacing w:before="0" w:after="283"/>
              <w:jc w:val="right"/>
              <w:rPr/>
            </w:pPr>
            <w:r>
              <w:rPr/>
              <w:t>2024</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right"/>
              <w:rPr/>
            </w:pPr>
            <w:r>
              <w:rPr/>
              <w:t>1,776,923</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75" w:type="dxa"/>
            <w:tcBorders>
              <w:bottom w:val="single" w:sz="6" w:space="0" w:color="B99C16"/>
            </w:tcBorders>
            <w:tcMar>
              <w:bottom w:w="28" w:type="dxa"/>
            </w:tcMar>
            <w:vAlign w:val="center"/>
          </w:tcPr>
          <w:p>
            <w:pPr>
              <w:pStyle w:val="TableContents"/>
              <w:bidi w:val="0"/>
              <w:spacing w:before="0" w:after="283"/>
              <w:jc w:val="center"/>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6,585,361</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405" w:type="dxa"/>
            <w:tcBorders>
              <w:bottom w:val="single" w:sz="6" w:space="0" w:color="B99C16"/>
            </w:tcBorders>
            <w:tcMar>
              <w:bottom w:w="28" w:type="dxa"/>
            </w:tcMar>
            <w:vAlign w:val="center"/>
          </w:tcPr>
          <w:p>
            <w:pPr>
              <w:pStyle w:val="TableContents"/>
              <w:bidi w:val="0"/>
              <w:spacing w:before="0" w:after="283"/>
              <w:jc w:val="right"/>
              <w:rPr/>
            </w:pPr>
            <w:r>
              <w:rPr/>
              <w:t>6,714,460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3" w:type="dxa"/>
            <w:tcBorders>
              <w:bottom w:val="single" w:sz="6" w:space="0" w:color="B99C16"/>
            </w:tcBorders>
            <w:tcMar>
              <w:bottom w:w="28" w:type="dxa"/>
            </w:tcMar>
            <w:vAlign w:val="center"/>
          </w:tcPr>
          <w:p>
            <w:pPr>
              <w:pStyle w:val="TableContents"/>
              <w:bidi w:val="0"/>
              <w:spacing w:before="0" w:after="283"/>
              <w:jc w:val="left"/>
              <w:rPr/>
            </w:pPr>
            <w:r>
              <w:rPr/>
              <w:t> </w:t>
            </w:r>
          </w:p>
        </w:tc>
        <w:tc>
          <w:tcPr>
            <w:tcW w:w="1387" w:type="dxa"/>
            <w:tcBorders>
              <w:bottom w:val="single" w:sz="6" w:space="0" w:color="B99C16"/>
            </w:tcBorders>
            <w:tcMar>
              <w:bottom w:w="28" w:type="dxa"/>
            </w:tcMar>
            <w:vAlign w:val="center"/>
          </w:tcPr>
          <w:p>
            <w:pPr>
              <w:pStyle w:val="TableContents"/>
              <w:bidi w:val="0"/>
              <w:spacing w:before="0" w:after="283"/>
              <w:jc w:val="right"/>
              <w:rPr/>
            </w:pPr>
            <w:r>
              <w:rPr/>
              <w:t>26,919</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15,103,663</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195" w:type="dxa"/>
            <w:vMerge w:val="continue"/>
            <w:tcBorders>
              <w:bottom w:val="single" w:sz="8" w:space="0" w:color="B99C16"/>
            </w:tcBorders>
            <w:shd w:fill="F1EBD0" w:val="clear"/>
            <w:tcMar>
              <w:bottom w:w="28" w:type="dxa"/>
            </w:tcMar>
            <w:vAlign w:val="center"/>
          </w:tcPr>
          <w:p>
            <w:pPr>
              <w:pStyle w:val="Normal"/>
              <w:bidi w:val="0"/>
              <w:jc w:val="left"/>
              <w:rPr/>
            </w:pPr>
            <w:r>
              <w:rPr/>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500" w:type="dxa"/>
            <w:tcBorders>
              <w:bottom w:val="single" w:sz="8" w:space="0" w:color="B99C16"/>
            </w:tcBorders>
            <w:tcMar>
              <w:bottom w:w="28" w:type="dxa"/>
            </w:tcMar>
            <w:vAlign w:val="center"/>
          </w:tcPr>
          <w:p>
            <w:pPr>
              <w:pStyle w:val="TableContents"/>
              <w:bidi w:val="0"/>
              <w:spacing w:before="0" w:after="283"/>
              <w:jc w:val="right"/>
              <w:rPr/>
            </w:pPr>
            <w:r>
              <w:rPr/>
              <w:t>2023</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right"/>
              <w:rPr/>
            </w:pPr>
            <w:r>
              <w:rPr/>
              <w:t>1,626,923</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875" w:type="dxa"/>
            <w:tcBorders>
              <w:bottom w:val="single" w:sz="8" w:space="0" w:color="B99C16"/>
            </w:tcBorders>
            <w:tcMar>
              <w:bottom w:w="28" w:type="dxa"/>
            </w:tcMar>
            <w:vAlign w:val="center"/>
          </w:tcPr>
          <w:p>
            <w:pPr>
              <w:pStyle w:val="TableContents"/>
              <w:bidi w:val="0"/>
              <w:spacing w:before="0" w:after="283"/>
              <w:jc w:val="center"/>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100" w:type="dxa"/>
            <w:tcBorders>
              <w:bottom w:val="single" w:sz="8" w:space="0" w:color="B99C16"/>
            </w:tcBorders>
            <w:tcMar>
              <w:bottom w:w="28" w:type="dxa"/>
            </w:tcMar>
            <w:vAlign w:val="center"/>
          </w:tcPr>
          <w:p>
            <w:pPr>
              <w:pStyle w:val="TableContents"/>
              <w:bidi w:val="0"/>
              <w:spacing w:before="0" w:after="283"/>
              <w:jc w:val="right"/>
              <w:rPr/>
            </w:pPr>
            <w:r>
              <w:rPr/>
              <w:t>7,051,043</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85" w:type="dxa"/>
            <w:tcBorders>
              <w:bottom w:val="single" w:sz="8" w:space="0" w:color="B99C16"/>
            </w:tcBorders>
            <w:tcMar>
              <w:bottom w:w="28" w:type="dxa"/>
            </w:tcMar>
            <w:vAlign w:val="center"/>
          </w:tcPr>
          <w:p>
            <w:pPr>
              <w:pStyle w:val="TableContents"/>
              <w:bidi w:val="0"/>
              <w:spacing w:before="0" w:after="283"/>
              <w:jc w:val="left"/>
              <w:rPr/>
            </w:pPr>
            <w:r>
              <w:rPr/>
              <w:t> </w:t>
            </w:r>
          </w:p>
        </w:tc>
        <w:tc>
          <w:tcPr>
            <w:tcW w:w="1405" w:type="dxa"/>
            <w:tcBorders>
              <w:bottom w:val="single" w:sz="8" w:space="0" w:color="B99C16"/>
            </w:tcBorders>
            <w:tcMar>
              <w:bottom w:w="28" w:type="dxa"/>
            </w:tcMar>
            <w:vAlign w:val="center"/>
          </w:tcPr>
          <w:p>
            <w:pPr>
              <w:pStyle w:val="TableContents"/>
              <w:bidi w:val="0"/>
              <w:spacing w:before="0" w:after="283"/>
              <w:jc w:val="right"/>
              <w:rPr/>
            </w:pPr>
            <w:r>
              <w:rPr/>
              <w:t>3,511,979</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103" w:type="dxa"/>
            <w:tcBorders>
              <w:bottom w:val="single" w:sz="8" w:space="0" w:color="B99C16"/>
            </w:tcBorders>
            <w:tcMar>
              <w:bottom w:w="28" w:type="dxa"/>
            </w:tcMar>
            <w:vAlign w:val="center"/>
          </w:tcPr>
          <w:p>
            <w:pPr>
              <w:pStyle w:val="TableContents"/>
              <w:bidi w:val="0"/>
              <w:spacing w:before="0" w:after="283"/>
              <w:jc w:val="left"/>
              <w:rPr/>
            </w:pPr>
            <w:r>
              <w:rPr/>
              <w:t> </w:t>
            </w:r>
          </w:p>
        </w:tc>
        <w:tc>
          <w:tcPr>
            <w:tcW w:w="1387" w:type="dxa"/>
            <w:tcBorders>
              <w:bottom w:val="single" w:sz="8" w:space="0" w:color="B99C16"/>
            </w:tcBorders>
            <w:tcMar>
              <w:bottom w:w="28" w:type="dxa"/>
            </w:tcMar>
            <w:vAlign w:val="center"/>
          </w:tcPr>
          <w:p>
            <w:pPr>
              <w:pStyle w:val="TableContents"/>
              <w:bidi w:val="0"/>
              <w:spacing w:before="0" w:after="283"/>
              <w:jc w:val="right"/>
              <w:rPr/>
            </w:pPr>
            <w:r>
              <w:rPr/>
              <w:t>21,689</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100" w:type="dxa"/>
            <w:tcBorders>
              <w:bottom w:val="single" w:sz="8" w:space="0" w:color="B99C16"/>
            </w:tcBorders>
            <w:tcMar>
              <w:bottom w:w="28" w:type="dxa"/>
            </w:tcMar>
            <w:vAlign w:val="center"/>
          </w:tcPr>
          <w:p>
            <w:pPr>
              <w:pStyle w:val="TableContents"/>
              <w:bidi w:val="0"/>
              <w:spacing w:before="0" w:after="283"/>
              <w:jc w:val="right"/>
              <w:rPr/>
            </w:pPr>
            <w:r>
              <w:rPr/>
              <w:t>12,211,634</w:t>
            </w:r>
          </w:p>
        </w:tc>
        <w:tc>
          <w:tcPr>
            <w:tcW w:w="75" w:type="dxa"/>
            <w:tcBorders>
              <w:bottom w:val="single" w:sz="8" w:space="0" w:color="B99C16"/>
            </w:tcBorders>
            <w:tcMar>
              <w:bottom w:w="28" w:type="dxa"/>
            </w:tcMar>
            <w:vAlign w:val="center"/>
          </w:tcPr>
          <w:p>
            <w:pPr>
              <w:pStyle w:val="TableContents"/>
              <w:bidi w:val="0"/>
              <w:spacing w:before="0" w:after="283"/>
              <w:jc w:val="left"/>
              <w:rPr/>
            </w:pPr>
            <w:r>
              <w:rPr/>
              <w:t> </w:t>
            </w:r>
          </w:p>
        </w:tc>
      </w:tr>
      <w:tr>
        <w:trPr/>
        <w:tc>
          <w:tcPr>
            <w:tcW w:w="2195" w:type="dxa"/>
            <w:tcBorders/>
            <w:shd w:fill="F1EBD0" w:val="clear"/>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2195" w:type="dxa"/>
            <w:vMerge w:val="restart"/>
            <w:tcBorders>
              <w:bottom w:val="single" w:sz="8" w:space="0" w:color="B99C16"/>
            </w:tcBorders>
            <w:shd w:fill="F1EBD0" w:val="clear"/>
            <w:tcMar>
              <w:bottom w:w="28"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William E. Mudd</w:t>
            </w:r>
          </w:p>
          <w:p>
            <w:pPr>
              <w:pStyle w:val="TableContents"/>
              <w:bidi w:val="0"/>
              <w:spacing w:before="0" w:after="0"/>
              <w:jc w:val="left"/>
              <w:rPr/>
            </w:pPr>
            <w:r>
              <w:rPr/>
              <w:t> </w:t>
            </w:r>
            <w:r>
              <w:rPr>
                <w:rFonts w:ascii="arial" w:hAnsi="arial"/>
                <w:sz w:val="18"/>
              </w:rPr>
              <w:t>President and Chief</w:t>
            </w:r>
          </w:p>
          <w:p>
            <w:pPr>
              <w:pStyle w:val="TableContents"/>
              <w:bidi w:val="0"/>
              <w:spacing w:before="0" w:after="20"/>
              <w:jc w:val="left"/>
              <w:rPr/>
            </w:pPr>
            <w:r>
              <w:rPr/>
              <w:t> </w:t>
            </w:r>
            <w:r>
              <w:rPr>
                <w:rFonts w:ascii="arial" w:hAnsi="arial"/>
                <w:sz w:val="18"/>
              </w:rPr>
              <w:t>Operating Officer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00" w:type="dxa"/>
            <w:tcBorders>
              <w:bottom w:val="single" w:sz="6" w:space="0" w:color="B99C16"/>
            </w:tcBorders>
            <w:tcMar>
              <w:bottom w:w="28" w:type="dxa"/>
            </w:tcMar>
            <w:vAlign w:val="center"/>
          </w:tcPr>
          <w:p>
            <w:pPr>
              <w:pStyle w:val="TableContents"/>
              <w:bidi w:val="0"/>
              <w:spacing w:before="0" w:after="283"/>
              <w:jc w:val="right"/>
              <w:rPr/>
            </w:pPr>
            <w:r>
              <w:rPr/>
              <w:t>2025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right"/>
              <w:rPr/>
            </w:pPr>
            <w:r>
              <w:rPr/>
              <w:t>1,265,949</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75" w:type="dxa"/>
            <w:tcBorders>
              <w:bottom w:val="single" w:sz="6" w:space="0" w:color="B99C16"/>
            </w:tcBorders>
            <w:tcMar>
              <w:bottom w:w="28" w:type="dxa"/>
            </w:tcMar>
            <w:vAlign w:val="center"/>
          </w:tcPr>
          <w:p>
            <w:pPr>
              <w:pStyle w:val="TableContents"/>
              <w:bidi w:val="0"/>
              <w:spacing w:before="0" w:after="283"/>
              <w:jc w:val="center"/>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3,814,744</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405" w:type="dxa"/>
            <w:tcBorders>
              <w:bottom w:val="single" w:sz="6" w:space="0" w:color="B99C16"/>
            </w:tcBorders>
            <w:tcMar>
              <w:bottom w:w="28" w:type="dxa"/>
            </w:tcMar>
            <w:vAlign w:val="center"/>
          </w:tcPr>
          <w:p>
            <w:pPr>
              <w:pStyle w:val="TableContents"/>
              <w:bidi w:val="0"/>
              <w:spacing w:before="0" w:after="283"/>
              <w:jc w:val="right"/>
              <w:rPr/>
            </w:pPr>
            <w:r>
              <w:rPr/>
              <w:t>2,038,106</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3" w:type="dxa"/>
            <w:tcBorders>
              <w:bottom w:val="single" w:sz="6" w:space="0" w:color="B99C16"/>
            </w:tcBorders>
            <w:tcMar>
              <w:bottom w:w="28" w:type="dxa"/>
            </w:tcMar>
            <w:vAlign w:val="center"/>
          </w:tcPr>
          <w:p>
            <w:pPr>
              <w:pStyle w:val="TableContents"/>
              <w:bidi w:val="0"/>
              <w:spacing w:before="0" w:after="283"/>
              <w:jc w:val="left"/>
              <w:rPr/>
            </w:pPr>
            <w:r>
              <w:rPr/>
              <w:t> </w:t>
            </w:r>
          </w:p>
        </w:tc>
        <w:tc>
          <w:tcPr>
            <w:tcW w:w="1387" w:type="dxa"/>
            <w:tcBorders>
              <w:bottom w:val="single" w:sz="6" w:space="0" w:color="B99C16"/>
            </w:tcBorders>
            <w:tcMar>
              <w:bottom w:w="28" w:type="dxa"/>
            </w:tcMar>
            <w:vAlign w:val="center"/>
          </w:tcPr>
          <w:p>
            <w:pPr>
              <w:pStyle w:val="TableContents"/>
              <w:bidi w:val="0"/>
              <w:spacing w:before="0" w:after="283"/>
              <w:jc w:val="right"/>
              <w:rPr/>
            </w:pPr>
            <w:r>
              <w:rPr/>
              <w:t>90,687</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7,209,486</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195" w:type="dxa"/>
            <w:vMerge w:val="continue"/>
            <w:tcBorders>
              <w:bottom w:val="single" w:sz="8" w:space="0" w:color="B99C16"/>
            </w:tcBorders>
            <w:shd w:fill="F1EBD0" w:val="clear"/>
            <w:tcMar>
              <w:bottom w:w="28" w:type="dxa"/>
            </w:tcMar>
            <w:vAlign w:val="center"/>
          </w:tcPr>
          <w:p>
            <w:pPr>
              <w:pStyle w:val="Normal"/>
              <w:bidi w:val="0"/>
              <w:jc w:val="left"/>
              <w:rPr/>
            </w:pPr>
            <w:r>
              <w:rPr/>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00" w:type="dxa"/>
            <w:tcBorders>
              <w:bottom w:val="single" w:sz="6" w:space="0" w:color="B99C16"/>
            </w:tcBorders>
            <w:tcMar>
              <w:bottom w:w="28" w:type="dxa"/>
            </w:tcMar>
            <w:vAlign w:val="center"/>
          </w:tcPr>
          <w:p>
            <w:pPr>
              <w:pStyle w:val="TableContents"/>
              <w:bidi w:val="0"/>
              <w:spacing w:before="0" w:after="283"/>
              <w:jc w:val="right"/>
              <w:rPr/>
            </w:pPr>
            <w:r>
              <w:rPr/>
              <w:t>2024</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right"/>
              <w:rPr/>
            </w:pPr>
            <w:r>
              <w:rPr/>
              <w:t>1,230,462</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75" w:type="dxa"/>
            <w:tcBorders>
              <w:bottom w:val="single" w:sz="6" w:space="0" w:color="B99C16"/>
            </w:tcBorders>
            <w:tcMar>
              <w:bottom w:w="28" w:type="dxa"/>
            </w:tcMar>
            <w:vAlign w:val="center"/>
          </w:tcPr>
          <w:p>
            <w:pPr>
              <w:pStyle w:val="TableContents"/>
              <w:bidi w:val="0"/>
              <w:spacing w:before="0" w:after="283"/>
              <w:jc w:val="center"/>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2,905,577</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405" w:type="dxa"/>
            <w:tcBorders>
              <w:bottom w:val="single" w:sz="6" w:space="0" w:color="B99C16"/>
            </w:tcBorders>
            <w:tcMar>
              <w:bottom w:w="28" w:type="dxa"/>
            </w:tcMar>
            <w:vAlign w:val="center"/>
          </w:tcPr>
          <w:p>
            <w:pPr>
              <w:pStyle w:val="TableContents"/>
              <w:bidi w:val="0"/>
              <w:spacing w:before="0" w:after="283"/>
              <w:jc w:val="right"/>
              <w:rPr/>
            </w:pPr>
            <w:r>
              <w:rPr/>
              <w:t>2,305,298</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3" w:type="dxa"/>
            <w:tcBorders>
              <w:bottom w:val="single" w:sz="6" w:space="0" w:color="B99C16"/>
            </w:tcBorders>
            <w:tcMar>
              <w:bottom w:w="28" w:type="dxa"/>
            </w:tcMar>
            <w:vAlign w:val="center"/>
          </w:tcPr>
          <w:p>
            <w:pPr>
              <w:pStyle w:val="TableContents"/>
              <w:bidi w:val="0"/>
              <w:spacing w:before="0" w:after="283"/>
              <w:jc w:val="left"/>
              <w:rPr/>
            </w:pPr>
            <w:r>
              <w:rPr/>
              <w:t> </w:t>
            </w:r>
          </w:p>
        </w:tc>
        <w:tc>
          <w:tcPr>
            <w:tcW w:w="1387" w:type="dxa"/>
            <w:tcBorders>
              <w:bottom w:val="single" w:sz="6" w:space="0" w:color="B99C16"/>
            </w:tcBorders>
            <w:tcMar>
              <w:bottom w:w="28" w:type="dxa"/>
            </w:tcMar>
            <w:vAlign w:val="center"/>
          </w:tcPr>
          <w:p>
            <w:pPr>
              <w:pStyle w:val="TableContents"/>
              <w:bidi w:val="0"/>
              <w:spacing w:before="0" w:after="283"/>
              <w:jc w:val="right"/>
              <w:rPr/>
            </w:pPr>
            <w:r>
              <w:rPr/>
              <w:t>21,561</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6,462,898</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195" w:type="dxa"/>
            <w:vMerge w:val="continue"/>
            <w:tcBorders>
              <w:bottom w:val="single" w:sz="8" w:space="0" w:color="B99C16"/>
            </w:tcBorders>
            <w:shd w:fill="F1EBD0" w:val="clear"/>
            <w:tcMar>
              <w:bottom w:w="28" w:type="dxa"/>
            </w:tcMar>
            <w:vAlign w:val="center"/>
          </w:tcPr>
          <w:p>
            <w:pPr>
              <w:pStyle w:val="Normal"/>
              <w:bidi w:val="0"/>
              <w:jc w:val="left"/>
              <w:rPr/>
            </w:pPr>
            <w:r>
              <w:rPr/>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500" w:type="dxa"/>
            <w:tcBorders>
              <w:bottom w:val="single" w:sz="8" w:space="0" w:color="B99C16"/>
            </w:tcBorders>
            <w:tcMar>
              <w:bottom w:w="28" w:type="dxa"/>
            </w:tcMar>
            <w:vAlign w:val="center"/>
          </w:tcPr>
          <w:p>
            <w:pPr>
              <w:pStyle w:val="TableContents"/>
              <w:bidi w:val="0"/>
              <w:spacing w:before="0" w:after="283"/>
              <w:jc w:val="right"/>
              <w:rPr/>
            </w:pPr>
            <w:r>
              <w:rPr/>
              <w:t>2023</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right"/>
              <w:rPr/>
            </w:pPr>
            <w:r>
              <w:rPr/>
              <w:t>1,184,615</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875" w:type="dxa"/>
            <w:tcBorders>
              <w:bottom w:val="single" w:sz="8" w:space="0" w:color="B99C16"/>
            </w:tcBorders>
            <w:tcMar>
              <w:bottom w:w="28" w:type="dxa"/>
            </w:tcMar>
            <w:vAlign w:val="center"/>
          </w:tcPr>
          <w:p>
            <w:pPr>
              <w:pStyle w:val="TableContents"/>
              <w:bidi w:val="0"/>
              <w:spacing w:before="0" w:after="283"/>
              <w:jc w:val="center"/>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100" w:type="dxa"/>
            <w:tcBorders>
              <w:bottom w:val="single" w:sz="8" w:space="0" w:color="B99C16"/>
            </w:tcBorders>
            <w:tcMar>
              <w:bottom w:w="28" w:type="dxa"/>
            </w:tcMar>
            <w:vAlign w:val="center"/>
          </w:tcPr>
          <w:p>
            <w:pPr>
              <w:pStyle w:val="TableContents"/>
              <w:bidi w:val="0"/>
              <w:spacing w:before="0" w:after="283"/>
              <w:jc w:val="right"/>
              <w:rPr/>
            </w:pPr>
            <w:r>
              <w:rPr/>
              <w:t>3,111,080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85" w:type="dxa"/>
            <w:tcBorders>
              <w:bottom w:val="single" w:sz="8" w:space="0" w:color="B99C16"/>
            </w:tcBorders>
            <w:tcMar>
              <w:bottom w:w="28" w:type="dxa"/>
            </w:tcMar>
            <w:vAlign w:val="center"/>
          </w:tcPr>
          <w:p>
            <w:pPr>
              <w:pStyle w:val="TableContents"/>
              <w:bidi w:val="0"/>
              <w:spacing w:before="0" w:after="283"/>
              <w:jc w:val="left"/>
              <w:rPr/>
            </w:pPr>
            <w:r>
              <w:rPr/>
              <w:t> </w:t>
            </w:r>
          </w:p>
        </w:tc>
        <w:tc>
          <w:tcPr>
            <w:tcW w:w="1405" w:type="dxa"/>
            <w:tcBorders>
              <w:bottom w:val="single" w:sz="8" w:space="0" w:color="B99C16"/>
            </w:tcBorders>
            <w:tcMar>
              <w:bottom w:w="28" w:type="dxa"/>
            </w:tcMar>
            <w:vAlign w:val="center"/>
          </w:tcPr>
          <w:p>
            <w:pPr>
              <w:pStyle w:val="TableContents"/>
              <w:bidi w:val="0"/>
              <w:spacing w:before="0" w:after="283"/>
              <w:jc w:val="right"/>
              <w:rPr/>
            </w:pPr>
            <w:r>
              <w:rPr/>
              <w:t>1,824,405</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103" w:type="dxa"/>
            <w:tcBorders>
              <w:bottom w:val="single" w:sz="8" w:space="0" w:color="B99C16"/>
            </w:tcBorders>
            <w:tcMar>
              <w:bottom w:w="28" w:type="dxa"/>
            </w:tcMar>
            <w:vAlign w:val="center"/>
          </w:tcPr>
          <w:p>
            <w:pPr>
              <w:pStyle w:val="TableContents"/>
              <w:bidi w:val="0"/>
              <w:spacing w:before="0" w:after="283"/>
              <w:jc w:val="left"/>
              <w:rPr/>
            </w:pPr>
            <w:r>
              <w:rPr/>
              <w:t> </w:t>
            </w:r>
          </w:p>
        </w:tc>
        <w:tc>
          <w:tcPr>
            <w:tcW w:w="1387" w:type="dxa"/>
            <w:tcBorders>
              <w:bottom w:val="single" w:sz="8" w:space="0" w:color="B99C16"/>
            </w:tcBorders>
            <w:tcMar>
              <w:bottom w:w="28" w:type="dxa"/>
            </w:tcMar>
            <w:vAlign w:val="center"/>
          </w:tcPr>
          <w:p>
            <w:pPr>
              <w:pStyle w:val="TableContents"/>
              <w:bidi w:val="0"/>
              <w:spacing w:before="0" w:after="283"/>
              <w:jc w:val="right"/>
              <w:rPr/>
            </w:pPr>
            <w:r>
              <w:rPr/>
              <w:t>20,175</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100" w:type="dxa"/>
            <w:tcBorders>
              <w:bottom w:val="single" w:sz="8" w:space="0" w:color="B99C16"/>
            </w:tcBorders>
            <w:tcMar>
              <w:bottom w:w="28" w:type="dxa"/>
            </w:tcMar>
            <w:vAlign w:val="center"/>
          </w:tcPr>
          <w:p>
            <w:pPr>
              <w:pStyle w:val="TableContents"/>
              <w:bidi w:val="0"/>
              <w:spacing w:before="0" w:after="283"/>
              <w:jc w:val="right"/>
              <w:rPr/>
            </w:pPr>
            <w:r>
              <w:rPr/>
              <w:t>6,140,275</w:t>
            </w:r>
          </w:p>
        </w:tc>
        <w:tc>
          <w:tcPr>
            <w:tcW w:w="75" w:type="dxa"/>
            <w:tcBorders>
              <w:bottom w:val="single" w:sz="8" w:space="0" w:color="B99C16"/>
            </w:tcBorders>
            <w:tcMar>
              <w:bottom w:w="28" w:type="dxa"/>
            </w:tcMar>
            <w:vAlign w:val="center"/>
          </w:tcPr>
          <w:p>
            <w:pPr>
              <w:pStyle w:val="TableContents"/>
              <w:bidi w:val="0"/>
              <w:spacing w:before="0" w:after="283"/>
              <w:jc w:val="left"/>
              <w:rPr/>
            </w:pPr>
            <w:r>
              <w:rPr/>
              <w:t> </w:t>
            </w:r>
          </w:p>
        </w:tc>
      </w:tr>
      <w:tr>
        <w:trPr/>
        <w:tc>
          <w:tcPr>
            <w:tcW w:w="2195" w:type="dxa"/>
            <w:tcBorders/>
            <w:shd w:fill="F1EBD0" w:val="clear"/>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2195" w:type="dxa"/>
            <w:vMerge w:val="restart"/>
            <w:tcBorders>
              <w:bottom w:val="single" w:sz="8" w:space="0" w:color="B99C16"/>
            </w:tcBorders>
            <w:shd w:fill="F1EBD0" w:val="clear"/>
            <w:tcMar>
              <w:bottom w:w="28"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Marcia A. Dall</w:t>
            </w:r>
          </w:p>
          <w:p>
            <w:pPr>
              <w:pStyle w:val="TableContents"/>
              <w:bidi w:val="0"/>
              <w:spacing w:before="0" w:after="0"/>
              <w:jc w:val="left"/>
              <w:rPr/>
            </w:pPr>
            <w:r>
              <w:rPr/>
              <w:t> </w:t>
            </w:r>
            <w:r>
              <w:rPr>
                <w:rFonts w:ascii="arial" w:hAnsi="arial"/>
                <w:sz w:val="18"/>
              </w:rPr>
              <w:t>Executive Vice President</w:t>
            </w:r>
          </w:p>
          <w:p>
            <w:pPr>
              <w:pStyle w:val="TableContents"/>
              <w:bidi w:val="0"/>
              <w:spacing w:before="0" w:after="20"/>
              <w:jc w:val="left"/>
              <w:rPr/>
            </w:pPr>
            <w:r>
              <w:rPr/>
              <w:t> </w:t>
            </w:r>
            <w:r>
              <w:rPr>
                <w:rFonts w:ascii="arial" w:hAnsi="arial"/>
                <w:sz w:val="18"/>
              </w:rPr>
              <w:t>and Chief Financial Officer</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00" w:type="dxa"/>
            <w:tcBorders>
              <w:bottom w:val="single" w:sz="6" w:space="0" w:color="B99C16"/>
            </w:tcBorders>
            <w:tcMar>
              <w:bottom w:w="28" w:type="dxa"/>
            </w:tcMar>
            <w:vAlign w:val="center"/>
          </w:tcPr>
          <w:p>
            <w:pPr>
              <w:pStyle w:val="TableContents"/>
              <w:bidi w:val="0"/>
              <w:spacing w:before="0" w:after="283"/>
              <w:jc w:val="right"/>
              <w:rPr/>
            </w:pPr>
            <w:r>
              <w:rPr/>
              <w:t>2025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right"/>
              <w:rPr/>
            </w:pPr>
            <w:r>
              <w:rPr/>
              <w:t>944,091</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75" w:type="dxa"/>
            <w:tcBorders>
              <w:bottom w:val="single" w:sz="6" w:space="0" w:color="B99C16"/>
            </w:tcBorders>
            <w:tcMar>
              <w:bottom w:w="28" w:type="dxa"/>
            </w:tcMar>
            <w:vAlign w:val="center"/>
          </w:tcPr>
          <w:p>
            <w:pPr>
              <w:pStyle w:val="TableContents"/>
              <w:bidi w:val="0"/>
              <w:spacing w:before="0" w:after="283"/>
              <w:jc w:val="center"/>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2,193,483</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405" w:type="dxa"/>
            <w:tcBorders>
              <w:bottom w:val="single" w:sz="6" w:space="0" w:color="B99C16"/>
            </w:tcBorders>
            <w:tcMar>
              <w:bottom w:w="28" w:type="dxa"/>
            </w:tcMar>
            <w:vAlign w:val="center"/>
          </w:tcPr>
          <w:p>
            <w:pPr>
              <w:pStyle w:val="TableContents"/>
              <w:bidi w:val="0"/>
              <w:spacing w:before="0" w:after="283"/>
              <w:jc w:val="right"/>
              <w:rPr/>
            </w:pPr>
            <w:r>
              <w:rPr/>
              <w:t>1,338,374</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3" w:type="dxa"/>
            <w:tcBorders>
              <w:bottom w:val="single" w:sz="6" w:space="0" w:color="B99C16"/>
            </w:tcBorders>
            <w:tcMar>
              <w:bottom w:w="28" w:type="dxa"/>
            </w:tcMar>
            <w:vAlign w:val="center"/>
          </w:tcPr>
          <w:p>
            <w:pPr>
              <w:pStyle w:val="TableContents"/>
              <w:bidi w:val="0"/>
              <w:spacing w:before="0" w:after="283"/>
              <w:jc w:val="left"/>
              <w:rPr/>
            </w:pPr>
            <w:r>
              <w:rPr/>
              <w:t> </w:t>
            </w:r>
          </w:p>
        </w:tc>
        <w:tc>
          <w:tcPr>
            <w:tcW w:w="1387" w:type="dxa"/>
            <w:tcBorders>
              <w:bottom w:val="single" w:sz="6" w:space="0" w:color="B99C16"/>
            </w:tcBorders>
            <w:tcMar>
              <w:bottom w:w="28" w:type="dxa"/>
            </w:tcMar>
            <w:vAlign w:val="center"/>
          </w:tcPr>
          <w:p>
            <w:pPr>
              <w:pStyle w:val="TableContents"/>
              <w:bidi w:val="0"/>
              <w:spacing w:before="0" w:after="283"/>
              <w:jc w:val="right"/>
              <w:rPr/>
            </w:pPr>
            <w:r>
              <w:rPr/>
              <w:t>76,354</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4,552,302</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195" w:type="dxa"/>
            <w:vMerge w:val="continue"/>
            <w:tcBorders>
              <w:bottom w:val="single" w:sz="8" w:space="0" w:color="B99C16"/>
            </w:tcBorders>
            <w:shd w:fill="F1EBD0" w:val="clear"/>
            <w:tcMar>
              <w:bottom w:w="28" w:type="dxa"/>
            </w:tcMar>
            <w:vAlign w:val="center"/>
          </w:tcPr>
          <w:p>
            <w:pPr>
              <w:pStyle w:val="Normal"/>
              <w:bidi w:val="0"/>
              <w:jc w:val="left"/>
              <w:rPr/>
            </w:pPr>
            <w:r>
              <w:rPr/>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00" w:type="dxa"/>
            <w:tcBorders>
              <w:bottom w:val="single" w:sz="6" w:space="0" w:color="B99C16"/>
            </w:tcBorders>
            <w:tcMar>
              <w:bottom w:w="28" w:type="dxa"/>
            </w:tcMar>
            <w:vAlign w:val="center"/>
          </w:tcPr>
          <w:p>
            <w:pPr>
              <w:pStyle w:val="TableContents"/>
              <w:bidi w:val="0"/>
              <w:spacing w:before="0" w:after="283"/>
              <w:jc w:val="right"/>
              <w:rPr/>
            </w:pPr>
            <w:r>
              <w:rPr/>
              <w:t>2024</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right"/>
              <w:rPr/>
            </w:pPr>
            <w:r>
              <w:rPr/>
              <w:t>915,156</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75" w:type="dxa"/>
            <w:tcBorders>
              <w:bottom w:val="single" w:sz="6" w:space="0" w:color="B99C16"/>
            </w:tcBorders>
            <w:tcMar>
              <w:bottom w:w="28" w:type="dxa"/>
            </w:tcMar>
            <w:vAlign w:val="center"/>
          </w:tcPr>
          <w:p>
            <w:pPr>
              <w:pStyle w:val="TableContents"/>
              <w:bidi w:val="0"/>
              <w:spacing w:before="0" w:after="283"/>
              <w:jc w:val="center"/>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2,130,886</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405" w:type="dxa"/>
            <w:tcBorders>
              <w:bottom w:val="single" w:sz="6" w:space="0" w:color="B99C16"/>
            </w:tcBorders>
            <w:tcMar>
              <w:bottom w:w="28" w:type="dxa"/>
            </w:tcMar>
            <w:vAlign w:val="center"/>
          </w:tcPr>
          <w:p>
            <w:pPr>
              <w:pStyle w:val="TableContents"/>
              <w:bidi w:val="0"/>
              <w:spacing w:before="0" w:after="283"/>
              <w:jc w:val="right"/>
              <w:rPr/>
            </w:pPr>
            <w:r>
              <w:rPr/>
              <w:t>1,508,817</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3" w:type="dxa"/>
            <w:tcBorders>
              <w:bottom w:val="single" w:sz="6" w:space="0" w:color="B99C16"/>
            </w:tcBorders>
            <w:tcMar>
              <w:bottom w:w="28" w:type="dxa"/>
            </w:tcMar>
            <w:vAlign w:val="center"/>
          </w:tcPr>
          <w:p>
            <w:pPr>
              <w:pStyle w:val="TableContents"/>
              <w:bidi w:val="0"/>
              <w:spacing w:before="0" w:after="283"/>
              <w:jc w:val="left"/>
              <w:rPr/>
            </w:pPr>
            <w:r>
              <w:rPr/>
              <w:t> </w:t>
            </w:r>
          </w:p>
        </w:tc>
        <w:tc>
          <w:tcPr>
            <w:tcW w:w="1387" w:type="dxa"/>
            <w:tcBorders>
              <w:bottom w:val="single" w:sz="6" w:space="0" w:color="B99C16"/>
            </w:tcBorders>
            <w:tcMar>
              <w:bottom w:w="28" w:type="dxa"/>
            </w:tcMar>
            <w:vAlign w:val="center"/>
          </w:tcPr>
          <w:p>
            <w:pPr>
              <w:pStyle w:val="TableContents"/>
              <w:bidi w:val="0"/>
              <w:spacing w:before="0" w:after="283"/>
              <w:jc w:val="right"/>
              <w:rPr/>
            </w:pPr>
            <w:r>
              <w:rPr/>
              <w:t>28,539</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4,583,398</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195" w:type="dxa"/>
            <w:vMerge w:val="continue"/>
            <w:tcBorders>
              <w:bottom w:val="single" w:sz="8" w:space="0" w:color="B99C16"/>
            </w:tcBorders>
            <w:shd w:fill="F1EBD0" w:val="clear"/>
            <w:tcMar>
              <w:bottom w:w="28" w:type="dxa"/>
            </w:tcMar>
            <w:vAlign w:val="center"/>
          </w:tcPr>
          <w:p>
            <w:pPr>
              <w:pStyle w:val="Normal"/>
              <w:bidi w:val="0"/>
              <w:jc w:val="left"/>
              <w:rPr/>
            </w:pPr>
            <w:r>
              <w:rPr/>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500" w:type="dxa"/>
            <w:tcBorders>
              <w:bottom w:val="single" w:sz="8" w:space="0" w:color="B99C16"/>
            </w:tcBorders>
            <w:tcMar>
              <w:bottom w:w="28" w:type="dxa"/>
            </w:tcMar>
            <w:vAlign w:val="center"/>
          </w:tcPr>
          <w:p>
            <w:pPr>
              <w:pStyle w:val="TableContents"/>
              <w:bidi w:val="0"/>
              <w:spacing w:before="0" w:after="283"/>
              <w:jc w:val="right"/>
              <w:rPr/>
            </w:pPr>
            <w:r>
              <w:rPr/>
              <w:t>2023</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right"/>
              <w:rPr/>
            </w:pPr>
            <w:r>
              <w:rPr/>
              <w:t>885,961</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875" w:type="dxa"/>
            <w:tcBorders>
              <w:bottom w:val="single" w:sz="8" w:space="0" w:color="B99C16"/>
            </w:tcBorders>
            <w:tcMar>
              <w:bottom w:w="28" w:type="dxa"/>
            </w:tcMar>
            <w:vAlign w:val="center"/>
          </w:tcPr>
          <w:p>
            <w:pPr>
              <w:pStyle w:val="TableContents"/>
              <w:bidi w:val="0"/>
              <w:spacing w:before="0" w:after="283"/>
              <w:jc w:val="center"/>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100" w:type="dxa"/>
            <w:tcBorders>
              <w:bottom w:val="single" w:sz="8" w:space="0" w:color="B99C16"/>
            </w:tcBorders>
            <w:tcMar>
              <w:bottom w:w="28" w:type="dxa"/>
            </w:tcMar>
            <w:vAlign w:val="center"/>
          </w:tcPr>
          <w:p>
            <w:pPr>
              <w:pStyle w:val="TableContents"/>
              <w:bidi w:val="0"/>
              <w:spacing w:before="0" w:after="283"/>
              <w:jc w:val="right"/>
              <w:rPr/>
            </w:pPr>
            <w:r>
              <w:rPr/>
              <w:t>2,281,448</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85" w:type="dxa"/>
            <w:tcBorders>
              <w:bottom w:val="single" w:sz="8" w:space="0" w:color="B99C16"/>
            </w:tcBorders>
            <w:tcMar>
              <w:bottom w:w="28" w:type="dxa"/>
            </w:tcMar>
            <w:vAlign w:val="center"/>
          </w:tcPr>
          <w:p>
            <w:pPr>
              <w:pStyle w:val="TableContents"/>
              <w:bidi w:val="0"/>
              <w:spacing w:before="0" w:after="283"/>
              <w:jc w:val="left"/>
              <w:rPr/>
            </w:pPr>
            <w:r>
              <w:rPr/>
              <w:t> </w:t>
            </w:r>
          </w:p>
        </w:tc>
        <w:tc>
          <w:tcPr>
            <w:tcW w:w="1405" w:type="dxa"/>
            <w:tcBorders>
              <w:bottom w:val="single" w:sz="8" w:space="0" w:color="B99C16"/>
            </w:tcBorders>
            <w:tcMar>
              <w:bottom w:w="28" w:type="dxa"/>
            </w:tcMar>
            <w:vAlign w:val="center"/>
          </w:tcPr>
          <w:p>
            <w:pPr>
              <w:pStyle w:val="TableContents"/>
              <w:bidi w:val="0"/>
              <w:spacing w:before="0" w:after="283"/>
              <w:jc w:val="right"/>
              <w:rPr/>
            </w:pPr>
            <w:r>
              <w:rPr/>
              <w:t>1,194,073</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103" w:type="dxa"/>
            <w:tcBorders>
              <w:bottom w:val="single" w:sz="8" w:space="0" w:color="B99C16"/>
            </w:tcBorders>
            <w:tcMar>
              <w:bottom w:w="28" w:type="dxa"/>
            </w:tcMar>
            <w:vAlign w:val="center"/>
          </w:tcPr>
          <w:p>
            <w:pPr>
              <w:pStyle w:val="TableContents"/>
              <w:bidi w:val="0"/>
              <w:spacing w:before="0" w:after="283"/>
              <w:jc w:val="left"/>
              <w:rPr/>
            </w:pPr>
            <w:r>
              <w:rPr/>
              <w:t> </w:t>
            </w:r>
          </w:p>
        </w:tc>
        <w:tc>
          <w:tcPr>
            <w:tcW w:w="1387" w:type="dxa"/>
            <w:tcBorders>
              <w:bottom w:val="single" w:sz="8" w:space="0" w:color="B99C16"/>
            </w:tcBorders>
            <w:tcMar>
              <w:bottom w:w="28" w:type="dxa"/>
            </w:tcMar>
            <w:vAlign w:val="center"/>
          </w:tcPr>
          <w:p>
            <w:pPr>
              <w:pStyle w:val="TableContents"/>
              <w:bidi w:val="0"/>
              <w:spacing w:before="0" w:after="283"/>
              <w:jc w:val="right"/>
              <w:rPr/>
            </w:pPr>
            <w:r>
              <w:rPr/>
              <w:t>22,945</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100" w:type="dxa"/>
            <w:tcBorders>
              <w:bottom w:val="single" w:sz="8" w:space="0" w:color="B99C16"/>
            </w:tcBorders>
            <w:tcMar>
              <w:bottom w:w="28" w:type="dxa"/>
            </w:tcMar>
            <w:vAlign w:val="center"/>
          </w:tcPr>
          <w:p>
            <w:pPr>
              <w:pStyle w:val="TableContents"/>
              <w:bidi w:val="0"/>
              <w:spacing w:before="0" w:after="283"/>
              <w:jc w:val="right"/>
              <w:rPr/>
            </w:pPr>
            <w:r>
              <w:rPr/>
              <w:t>4,384,427</w:t>
            </w:r>
          </w:p>
        </w:tc>
        <w:tc>
          <w:tcPr>
            <w:tcW w:w="75" w:type="dxa"/>
            <w:tcBorders>
              <w:bottom w:val="single" w:sz="8" w:space="0" w:color="B99C16"/>
            </w:tcBorders>
            <w:tcMar>
              <w:bottom w:w="28" w:type="dxa"/>
            </w:tcMar>
            <w:vAlign w:val="center"/>
          </w:tcPr>
          <w:p>
            <w:pPr>
              <w:pStyle w:val="TableContents"/>
              <w:bidi w:val="0"/>
              <w:spacing w:before="0" w:after="283"/>
              <w:jc w:val="left"/>
              <w:rPr/>
            </w:pPr>
            <w:r>
              <w:rPr/>
              <w:t> </w:t>
            </w:r>
          </w:p>
        </w:tc>
      </w:tr>
      <w:tr>
        <w:trPr/>
        <w:tc>
          <w:tcPr>
            <w:tcW w:w="2195" w:type="dxa"/>
            <w:tcBorders/>
            <w:shd w:fill="F1EBD0" w:val="clear"/>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2195" w:type="dxa"/>
            <w:vMerge w:val="restart"/>
            <w:tcBorders>
              <w:bottom w:val="single" w:sz="8" w:space="0" w:color="B99C16"/>
            </w:tcBorders>
            <w:shd w:fill="F1EBD0" w:val="clear"/>
            <w:tcMar>
              <w:bottom w:w="28"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Bradley K. Blackwell</w:t>
            </w:r>
          </w:p>
          <w:p>
            <w:pPr>
              <w:pStyle w:val="TableContents"/>
              <w:bidi w:val="0"/>
              <w:spacing w:before="0" w:after="0"/>
              <w:jc w:val="left"/>
              <w:rPr/>
            </w:pPr>
            <w:r>
              <w:rPr/>
              <w:t> </w:t>
            </w:r>
            <w:r>
              <w:rPr>
                <w:rFonts w:ascii="arial" w:hAnsi="arial"/>
                <w:sz w:val="18"/>
              </w:rPr>
              <w:t>Executive Vice President and</w:t>
            </w:r>
          </w:p>
          <w:p>
            <w:pPr>
              <w:pStyle w:val="TableContents"/>
              <w:bidi w:val="0"/>
              <w:spacing w:before="0" w:after="20"/>
              <w:jc w:val="left"/>
              <w:rPr/>
            </w:pPr>
            <w:r>
              <w:rPr/>
              <w:t> </w:t>
            </w:r>
            <w:r>
              <w:rPr>
                <w:rFonts w:ascii="arial" w:hAnsi="arial"/>
                <w:sz w:val="18"/>
              </w:rPr>
              <w:t>General Counsel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00" w:type="dxa"/>
            <w:tcBorders>
              <w:bottom w:val="single" w:sz="6" w:space="0" w:color="B99C16"/>
            </w:tcBorders>
            <w:tcMar>
              <w:bottom w:w="28" w:type="dxa"/>
            </w:tcMar>
            <w:vAlign w:val="center"/>
          </w:tcPr>
          <w:p>
            <w:pPr>
              <w:pStyle w:val="TableContents"/>
              <w:bidi w:val="0"/>
              <w:spacing w:before="0" w:after="283"/>
              <w:jc w:val="right"/>
              <w:rPr/>
            </w:pPr>
            <w:r>
              <w:rPr/>
              <w:t>2025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right"/>
              <w:rPr/>
            </w:pPr>
            <w:r>
              <w:rPr/>
              <w:t>770,192</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75" w:type="dxa"/>
            <w:tcBorders>
              <w:bottom w:val="single" w:sz="6" w:space="0" w:color="B99C16"/>
            </w:tcBorders>
            <w:tcMar>
              <w:bottom w:w="28" w:type="dxa"/>
            </w:tcMar>
            <w:vAlign w:val="center"/>
          </w:tcPr>
          <w:p>
            <w:pPr>
              <w:pStyle w:val="TableContents"/>
              <w:bidi w:val="0"/>
              <w:spacing w:before="0" w:after="283"/>
              <w:jc w:val="center"/>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1,621,373</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405" w:type="dxa"/>
            <w:tcBorders>
              <w:bottom w:val="single" w:sz="6" w:space="0" w:color="B99C16"/>
            </w:tcBorders>
            <w:tcMar>
              <w:bottom w:w="28" w:type="dxa"/>
            </w:tcMar>
            <w:vAlign w:val="center"/>
          </w:tcPr>
          <w:p>
            <w:pPr>
              <w:pStyle w:val="TableContents"/>
              <w:bidi w:val="0"/>
              <w:spacing w:before="0" w:after="283"/>
              <w:jc w:val="right"/>
              <w:rPr/>
            </w:pPr>
            <w:r>
              <w:rPr/>
              <w:t>992,574</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3" w:type="dxa"/>
            <w:tcBorders>
              <w:bottom w:val="single" w:sz="6" w:space="0" w:color="B99C16"/>
            </w:tcBorders>
            <w:tcMar>
              <w:bottom w:w="28" w:type="dxa"/>
            </w:tcMar>
            <w:vAlign w:val="center"/>
          </w:tcPr>
          <w:p>
            <w:pPr>
              <w:pStyle w:val="TableContents"/>
              <w:bidi w:val="0"/>
              <w:spacing w:before="0" w:after="283"/>
              <w:jc w:val="left"/>
              <w:rPr/>
            </w:pPr>
            <w:r>
              <w:rPr/>
              <w:t> </w:t>
            </w:r>
          </w:p>
        </w:tc>
        <w:tc>
          <w:tcPr>
            <w:tcW w:w="1387" w:type="dxa"/>
            <w:tcBorders>
              <w:bottom w:val="single" w:sz="6" w:space="0" w:color="B99C16"/>
            </w:tcBorders>
            <w:tcMar>
              <w:bottom w:w="28" w:type="dxa"/>
            </w:tcMar>
            <w:vAlign w:val="center"/>
          </w:tcPr>
          <w:p>
            <w:pPr>
              <w:pStyle w:val="TableContents"/>
              <w:bidi w:val="0"/>
              <w:spacing w:before="0" w:after="283"/>
              <w:jc w:val="right"/>
              <w:rPr/>
            </w:pPr>
            <w:r>
              <w:rPr/>
              <w:t>22,225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3,406,364</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195" w:type="dxa"/>
            <w:vMerge w:val="continue"/>
            <w:tcBorders>
              <w:bottom w:val="single" w:sz="8" w:space="0" w:color="B99C16"/>
            </w:tcBorders>
            <w:shd w:fill="F1EBD0" w:val="clear"/>
            <w:tcMar>
              <w:bottom w:w="28" w:type="dxa"/>
            </w:tcMar>
            <w:vAlign w:val="center"/>
          </w:tcPr>
          <w:p>
            <w:pPr>
              <w:pStyle w:val="Normal"/>
              <w:bidi w:val="0"/>
              <w:jc w:val="left"/>
              <w:rPr/>
            </w:pPr>
            <w:r>
              <w:rPr/>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00" w:type="dxa"/>
            <w:tcBorders>
              <w:bottom w:val="single" w:sz="6" w:space="0" w:color="B99C16"/>
            </w:tcBorders>
            <w:tcMar>
              <w:bottom w:w="28" w:type="dxa"/>
            </w:tcMar>
            <w:vAlign w:val="center"/>
          </w:tcPr>
          <w:p>
            <w:pPr>
              <w:pStyle w:val="TableContents"/>
              <w:bidi w:val="0"/>
              <w:spacing w:before="0" w:after="283"/>
              <w:jc w:val="right"/>
              <w:rPr/>
            </w:pPr>
            <w:r>
              <w:rPr/>
              <w:t>2024</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right"/>
              <w:rPr/>
            </w:pPr>
            <w:r>
              <w:rPr/>
              <w:t>742,308</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75" w:type="dxa"/>
            <w:tcBorders>
              <w:bottom w:val="single" w:sz="6" w:space="0" w:color="B99C16"/>
            </w:tcBorders>
            <w:tcMar>
              <w:bottom w:w="28" w:type="dxa"/>
            </w:tcMar>
            <w:vAlign w:val="center"/>
          </w:tcPr>
          <w:p>
            <w:pPr>
              <w:pStyle w:val="TableContents"/>
              <w:bidi w:val="0"/>
              <w:spacing w:before="0" w:after="283"/>
              <w:jc w:val="center"/>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1,065,443</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405" w:type="dxa"/>
            <w:tcBorders>
              <w:bottom w:val="single" w:sz="6" w:space="0" w:color="B99C16"/>
            </w:tcBorders>
            <w:tcMar>
              <w:bottom w:w="28" w:type="dxa"/>
            </w:tcMar>
            <w:vAlign w:val="center"/>
          </w:tcPr>
          <w:p>
            <w:pPr>
              <w:pStyle w:val="TableContents"/>
              <w:bidi w:val="0"/>
              <w:spacing w:before="0" w:after="283"/>
              <w:jc w:val="right"/>
              <w:rPr/>
            </w:pPr>
            <w:r>
              <w:rPr/>
              <w:t>1,119,077</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3" w:type="dxa"/>
            <w:tcBorders>
              <w:bottom w:val="single" w:sz="6" w:space="0" w:color="B99C16"/>
            </w:tcBorders>
            <w:tcMar>
              <w:bottom w:w="28" w:type="dxa"/>
            </w:tcMar>
            <w:vAlign w:val="center"/>
          </w:tcPr>
          <w:p>
            <w:pPr>
              <w:pStyle w:val="TableContents"/>
              <w:bidi w:val="0"/>
              <w:spacing w:before="0" w:after="283"/>
              <w:jc w:val="left"/>
              <w:rPr/>
            </w:pPr>
            <w:r>
              <w:rPr/>
              <w:t> </w:t>
            </w:r>
          </w:p>
        </w:tc>
        <w:tc>
          <w:tcPr>
            <w:tcW w:w="1387" w:type="dxa"/>
            <w:tcBorders>
              <w:bottom w:val="single" w:sz="6" w:space="0" w:color="B99C16"/>
            </w:tcBorders>
            <w:tcMar>
              <w:bottom w:w="28" w:type="dxa"/>
            </w:tcMar>
            <w:vAlign w:val="center"/>
          </w:tcPr>
          <w:p>
            <w:pPr>
              <w:pStyle w:val="TableContents"/>
              <w:bidi w:val="0"/>
              <w:spacing w:before="0" w:after="283"/>
              <w:jc w:val="right"/>
              <w:rPr/>
            </w:pPr>
            <w:r>
              <w:rPr/>
              <w:t>20,212</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2,947,040</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195" w:type="dxa"/>
            <w:vMerge w:val="continue"/>
            <w:tcBorders>
              <w:bottom w:val="single" w:sz="8" w:space="0" w:color="B99C16"/>
            </w:tcBorders>
            <w:shd w:fill="F1EBD0" w:val="clear"/>
            <w:tcMar>
              <w:bottom w:w="28" w:type="dxa"/>
            </w:tcMar>
            <w:vAlign w:val="center"/>
          </w:tcPr>
          <w:p>
            <w:pPr>
              <w:pStyle w:val="Normal"/>
              <w:bidi w:val="0"/>
              <w:jc w:val="left"/>
              <w:rPr/>
            </w:pPr>
            <w:r>
              <w:rPr/>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500" w:type="dxa"/>
            <w:tcBorders>
              <w:bottom w:val="single" w:sz="8" w:space="0" w:color="B99C16"/>
            </w:tcBorders>
            <w:tcMar>
              <w:bottom w:w="28" w:type="dxa"/>
            </w:tcMar>
            <w:vAlign w:val="center"/>
          </w:tcPr>
          <w:p>
            <w:pPr>
              <w:pStyle w:val="TableContents"/>
              <w:bidi w:val="0"/>
              <w:spacing w:before="0" w:after="283"/>
              <w:jc w:val="right"/>
              <w:rPr/>
            </w:pPr>
            <w:r>
              <w:rPr/>
              <w:t>2023</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right"/>
              <w:rPr/>
            </w:pPr>
            <w:r>
              <w:rPr/>
              <w:t>684,615</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875" w:type="dxa"/>
            <w:tcBorders>
              <w:bottom w:val="single" w:sz="8" w:space="0" w:color="B99C16"/>
            </w:tcBorders>
            <w:tcMar>
              <w:bottom w:w="28" w:type="dxa"/>
            </w:tcMar>
            <w:vAlign w:val="center"/>
          </w:tcPr>
          <w:p>
            <w:pPr>
              <w:pStyle w:val="TableContents"/>
              <w:bidi w:val="0"/>
              <w:spacing w:before="0" w:after="283"/>
              <w:jc w:val="center"/>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100" w:type="dxa"/>
            <w:tcBorders>
              <w:bottom w:val="single" w:sz="8" w:space="0" w:color="B99C16"/>
            </w:tcBorders>
            <w:tcMar>
              <w:bottom w:w="28" w:type="dxa"/>
            </w:tcMar>
            <w:vAlign w:val="center"/>
          </w:tcPr>
          <w:p>
            <w:pPr>
              <w:pStyle w:val="TableContents"/>
              <w:bidi w:val="0"/>
              <w:spacing w:before="0" w:after="283"/>
              <w:jc w:val="right"/>
              <w:rPr/>
            </w:pPr>
            <w:r>
              <w:rPr/>
              <w:t>1,140,724</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85" w:type="dxa"/>
            <w:tcBorders>
              <w:bottom w:val="single" w:sz="8" w:space="0" w:color="B99C16"/>
            </w:tcBorders>
            <w:tcMar>
              <w:bottom w:w="28" w:type="dxa"/>
            </w:tcMar>
            <w:vAlign w:val="center"/>
          </w:tcPr>
          <w:p>
            <w:pPr>
              <w:pStyle w:val="TableContents"/>
              <w:bidi w:val="0"/>
              <w:spacing w:before="0" w:after="283"/>
              <w:jc w:val="left"/>
              <w:rPr/>
            </w:pPr>
            <w:r>
              <w:rPr/>
              <w:t> </w:t>
            </w:r>
          </w:p>
        </w:tc>
        <w:tc>
          <w:tcPr>
            <w:tcW w:w="1405" w:type="dxa"/>
            <w:tcBorders>
              <w:bottom w:val="single" w:sz="8" w:space="0" w:color="B99C16"/>
            </w:tcBorders>
            <w:tcMar>
              <w:bottom w:w="28" w:type="dxa"/>
            </w:tcMar>
            <w:vAlign w:val="center"/>
          </w:tcPr>
          <w:p>
            <w:pPr>
              <w:pStyle w:val="TableContents"/>
              <w:bidi w:val="0"/>
              <w:spacing w:before="0" w:after="283"/>
              <w:jc w:val="right"/>
              <w:rPr/>
            </w:pPr>
            <w:r>
              <w:rPr/>
              <w:t>851,389</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103" w:type="dxa"/>
            <w:tcBorders>
              <w:bottom w:val="single" w:sz="8" w:space="0" w:color="B99C16"/>
            </w:tcBorders>
            <w:tcMar>
              <w:bottom w:w="28" w:type="dxa"/>
            </w:tcMar>
            <w:vAlign w:val="center"/>
          </w:tcPr>
          <w:p>
            <w:pPr>
              <w:pStyle w:val="TableContents"/>
              <w:bidi w:val="0"/>
              <w:spacing w:before="0" w:after="283"/>
              <w:jc w:val="left"/>
              <w:rPr/>
            </w:pPr>
            <w:r>
              <w:rPr/>
              <w:t> </w:t>
            </w:r>
          </w:p>
        </w:tc>
        <w:tc>
          <w:tcPr>
            <w:tcW w:w="1387" w:type="dxa"/>
            <w:tcBorders>
              <w:bottom w:val="single" w:sz="8" w:space="0" w:color="B99C16"/>
            </w:tcBorders>
            <w:tcMar>
              <w:bottom w:w="28" w:type="dxa"/>
            </w:tcMar>
            <w:vAlign w:val="center"/>
          </w:tcPr>
          <w:p>
            <w:pPr>
              <w:pStyle w:val="TableContents"/>
              <w:bidi w:val="0"/>
              <w:spacing w:before="0" w:after="283"/>
              <w:jc w:val="right"/>
              <w:rPr/>
            </w:pPr>
            <w:r>
              <w:rPr/>
              <w:t>18,746</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100" w:type="dxa"/>
            <w:tcBorders>
              <w:bottom w:val="single" w:sz="8" w:space="0" w:color="B99C16"/>
            </w:tcBorders>
            <w:tcMar>
              <w:bottom w:w="28" w:type="dxa"/>
            </w:tcMar>
            <w:vAlign w:val="center"/>
          </w:tcPr>
          <w:p>
            <w:pPr>
              <w:pStyle w:val="TableContents"/>
              <w:bidi w:val="0"/>
              <w:spacing w:before="0" w:after="283"/>
              <w:jc w:val="right"/>
              <w:rPr/>
            </w:pPr>
            <w:r>
              <w:rPr/>
              <w:t>2,695,474</w:t>
            </w:r>
          </w:p>
        </w:tc>
        <w:tc>
          <w:tcPr>
            <w:tcW w:w="75" w:type="dxa"/>
            <w:tcBorders>
              <w:bottom w:val="single" w:sz="8" w:space="0" w:color="B99C16"/>
            </w:tcBorders>
            <w:tcMar>
              <w:bottom w:w="28" w:type="dxa"/>
            </w:tcMar>
            <w:vAlign w:val="center"/>
          </w:tcPr>
          <w:p>
            <w:pPr>
              <w:pStyle w:val="TableContents"/>
              <w:bidi w:val="0"/>
              <w:spacing w:before="0" w:after="283"/>
              <w:jc w:val="left"/>
              <w:rPr/>
            </w:pPr>
            <w:r>
              <w:rPr/>
              <w:t> </w:t>
            </w:r>
          </w:p>
        </w:tc>
      </w:tr>
      <w:tr>
        <w:trPr/>
        <w:tc>
          <w:tcPr>
            <w:tcW w:w="2195" w:type="dxa"/>
            <w:tcBorders/>
            <w:shd w:fill="F1EBD0" w:val="clear"/>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2195" w:type="dxa"/>
            <w:vMerge w:val="restart"/>
            <w:tcBorders>
              <w:bottom w:val="single" w:sz="8" w:space="0" w:color="B99C16"/>
            </w:tcBorders>
            <w:shd w:fill="F1EBD0" w:val="clear"/>
            <w:tcMar>
              <w:bottom w:w="28"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Maureen Adams</w:t>
            </w:r>
          </w:p>
          <w:p>
            <w:pPr>
              <w:pStyle w:val="TableContents"/>
              <w:bidi w:val="0"/>
              <w:spacing w:before="0" w:after="0"/>
              <w:jc w:val="left"/>
              <w:rPr/>
            </w:pPr>
            <w:r>
              <w:rPr/>
              <w:t> </w:t>
            </w:r>
            <w:r>
              <w:rPr>
                <w:rFonts w:ascii="arial" w:hAnsi="arial"/>
                <w:sz w:val="18"/>
              </w:rPr>
              <w:t>Former Executive Vice President,</w:t>
            </w:r>
          </w:p>
          <w:p>
            <w:pPr>
              <w:pStyle w:val="TableContents"/>
              <w:bidi w:val="0"/>
              <w:spacing w:before="0" w:after="20"/>
              <w:jc w:val="left"/>
              <w:rPr/>
            </w:pPr>
            <w:r>
              <w:rPr/>
              <w:t> </w:t>
            </w:r>
            <w:r>
              <w:rPr>
                <w:rFonts w:ascii="arial" w:hAnsi="arial"/>
                <w:sz w:val="18"/>
              </w:rPr>
              <w:t>Gaming Operations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00" w:type="dxa"/>
            <w:tcBorders>
              <w:bottom w:val="single" w:sz="6" w:space="0" w:color="B99C16"/>
            </w:tcBorders>
            <w:tcMar>
              <w:bottom w:w="28" w:type="dxa"/>
            </w:tcMar>
            <w:vAlign w:val="center"/>
          </w:tcPr>
          <w:p>
            <w:pPr>
              <w:pStyle w:val="TableContents"/>
              <w:bidi w:val="0"/>
              <w:spacing w:before="0" w:after="283"/>
              <w:jc w:val="right"/>
              <w:rPr/>
            </w:pPr>
            <w:r>
              <w:rPr/>
              <w:t>2025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right"/>
              <w:rPr/>
            </w:pPr>
            <w:r>
              <w:rPr/>
              <w:t>659,349</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75" w:type="dxa"/>
            <w:tcBorders>
              <w:bottom w:val="single" w:sz="6" w:space="0" w:color="B99C16"/>
            </w:tcBorders>
            <w:tcMar>
              <w:bottom w:w="28" w:type="dxa"/>
            </w:tcMar>
            <w:vAlign w:val="center"/>
          </w:tcPr>
          <w:p>
            <w:pPr>
              <w:pStyle w:val="TableContents"/>
              <w:bidi w:val="0"/>
              <w:spacing w:before="0" w:after="283"/>
              <w:jc w:val="center"/>
              <w:rPr/>
            </w:pPr>
            <w:r>
              <w:rPr/>
              <w:t>550,000(4)</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405" w:type="dxa"/>
            <w:tcBorders>
              <w:bottom w:val="single" w:sz="6" w:space="0" w:color="B99C16"/>
            </w:tcBorders>
            <w:tcMar>
              <w:bottom w:w="28" w:type="dxa"/>
            </w:tcMar>
            <w:vAlign w:val="center"/>
          </w:tcPr>
          <w:p>
            <w:pPr>
              <w:pStyle w:val="TableContents"/>
              <w:bidi w:val="0"/>
              <w:spacing w:before="0" w:after="283"/>
              <w:jc w:val="right"/>
              <w:rPr/>
            </w:pPr>
            <w:r>
              <w:rPr/>
              <w:t>615,101</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3" w:type="dxa"/>
            <w:tcBorders>
              <w:bottom w:val="single" w:sz="6" w:space="0" w:color="B99C16"/>
            </w:tcBorders>
            <w:tcMar>
              <w:bottom w:w="28" w:type="dxa"/>
            </w:tcMar>
            <w:vAlign w:val="center"/>
          </w:tcPr>
          <w:p>
            <w:pPr>
              <w:pStyle w:val="TableContents"/>
              <w:bidi w:val="0"/>
              <w:spacing w:before="0" w:after="283"/>
              <w:jc w:val="left"/>
              <w:rPr/>
            </w:pPr>
            <w:r>
              <w:rPr/>
              <w:t> </w:t>
            </w:r>
          </w:p>
        </w:tc>
        <w:tc>
          <w:tcPr>
            <w:tcW w:w="1387" w:type="dxa"/>
            <w:tcBorders>
              <w:bottom w:val="single" w:sz="6" w:space="0" w:color="B99C16"/>
            </w:tcBorders>
            <w:tcMar>
              <w:bottom w:w="28" w:type="dxa"/>
            </w:tcMar>
            <w:vAlign w:val="center"/>
          </w:tcPr>
          <w:p>
            <w:pPr>
              <w:pStyle w:val="TableContents"/>
              <w:bidi w:val="0"/>
              <w:spacing w:before="0" w:after="283"/>
              <w:jc w:val="right"/>
              <w:rPr/>
            </w:pPr>
            <w:r>
              <w:rPr/>
              <w:t>32,932</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1,857,382</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195" w:type="dxa"/>
            <w:vMerge w:val="continue"/>
            <w:tcBorders>
              <w:bottom w:val="single" w:sz="8" w:space="0" w:color="B99C16"/>
            </w:tcBorders>
            <w:shd w:fill="F1EBD0" w:val="clear"/>
            <w:tcMar>
              <w:bottom w:w="28" w:type="dxa"/>
            </w:tcMar>
            <w:vAlign w:val="center"/>
          </w:tcPr>
          <w:p>
            <w:pPr>
              <w:pStyle w:val="Normal"/>
              <w:bidi w:val="0"/>
              <w:jc w:val="left"/>
              <w:rPr/>
            </w:pPr>
            <w:r>
              <w:rPr/>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00" w:type="dxa"/>
            <w:tcBorders>
              <w:bottom w:val="single" w:sz="6" w:space="0" w:color="B99C16"/>
            </w:tcBorders>
            <w:tcMar>
              <w:bottom w:w="28" w:type="dxa"/>
            </w:tcMar>
            <w:vAlign w:val="center"/>
          </w:tcPr>
          <w:p>
            <w:pPr>
              <w:pStyle w:val="TableContents"/>
              <w:bidi w:val="0"/>
              <w:spacing w:before="0" w:after="283"/>
              <w:jc w:val="right"/>
              <w:rPr/>
            </w:pPr>
            <w:r>
              <w:rPr/>
              <w:t>2024</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right"/>
              <w:rPr/>
            </w:pPr>
            <w:r>
              <w:rPr/>
              <w:t>640,865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75" w:type="dxa"/>
            <w:tcBorders>
              <w:bottom w:val="single" w:sz="6" w:space="0" w:color="B99C16"/>
            </w:tcBorders>
            <w:tcMar>
              <w:bottom w:w="28" w:type="dxa"/>
            </w:tcMar>
            <w:vAlign w:val="center"/>
          </w:tcPr>
          <w:p>
            <w:pPr>
              <w:pStyle w:val="TableContents"/>
              <w:bidi w:val="0"/>
              <w:spacing w:before="0" w:after="283"/>
              <w:jc w:val="center"/>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1,065,443</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405" w:type="dxa"/>
            <w:tcBorders>
              <w:bottom w:val="single" w:sz="6" w:space="0" w:color="B99C16"/>
            </w:tcBorders>
            <w:tcMar>
              <w:bottom w:w="28" w:type="dxa"/>
            </w:tcMar>
            <w:vAlign w:val="center"/>
          </w:tcPr>
          <w:p>
            <w:pPr>
              <w:pStyle w:val="TableContents"/>
              <w:bidi w:val="0"/>
              <w:spacing w:before="0" w:after="283"/>
              <w:jc w:val="right"/>
              <w:rPr/>
            </w:pPr>
            <w:r>
              <w:rPr/>
              <w:t>864,487</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3" w:type="dxa"/>
            <w:tcBorders>
              <w:bottom w:val="single" w:sz="6" w:space="0" w:color="B99C16"/>
            </w:tcBorders>
            <w:tcMar>
              <w:bottom w:w="28" w:type="dxa"/>
            </w:tcMar>
            <w:vAlign w:val="center"/>
          </w:tcPr>
          <w:p>
            <w:pPr>
              <w:pStyle w:val="TableContents"/>
              <w:bidi w:val="0"/>
              <w:spacing w:before="0" w:after="283"/>
              <w:jc w:val="left"/>
              <w:rPr/>
            </w:pPr>
            <w:r>
              <w:rPr/>
              <w:t> </w:t>
            </w:r>
          </w:p>
        </w:tc>
        <w:tc>
          <w:tcPr>
            <w:tcW w:w="1387" w:type="dxa"/>
            <w:tcBorders>
              <w:bottom w:val="single" w:sz="6" w:space="0" w:color="B99C16"/>
            </w:tcBorders>
            <w:tcMar>
              <w:bottom w:w="28" w:type="dxa"/>
            </w:tcMar>
            <w:vAlign w:val="center"/>
          </w:tcPr>
          <w:p>
            <w:pPr>
              <w:pStyle w:val="TableContents"/>
              <w:bidi w:val="0"/>
              <w:spacing w:before="0" w:after="283"/>
              <w:jc w:val="right"/>
              <w:rPr/>
            </w:pPr>
            <w:r>
              <w:rPr/>
              <w:t>26,895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0" w:type="dxa"/>
            <w:tcBorders>
              <w:bottom w:val="single" w:sz="6" w:space="0" w:color="B99C16"/>
            </w:tcBorders>
            <w:tcMar>
              <w:bottom w:w="28" w:type="dxa"/>
            </w:tcMar>
            <w:vAlign w:val="center"/>
          </w:tcPr>
          <w:p>
            <w:pPr>
              <w:pStyle w:val="TableContents"/>
              <w:bidi w:val="0"/>
              <w:spacing w:before="0" w:after="283"/>
              <w:jc w:val="right"/>
              <w:rPr/>
            </w:pPr>
            <w:r>
              <w:rPr/>
              <w:t>2,597,690</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2195" w:type="dxa"/>
            <w:vMerge w:val="continue"/>
            <w:tcBorders>
              <w:bottom w:val="single" w:sz="8" w:space="0" w:color="B99C16"/>
            </w:tcBorders>
            <w:shd w:fill="F1EBD0" w:val="clear"/>
            <w:tcMar>
              <w:bottom w:w="28" w:type="dxa"/>
            </w:tcMar>
            <w:vAlign w:val="center"/>
          </w:tcPr>
          <w:p>
            <w:pPr>
              <w:pStyle w:val="Normal"/>
              <w:bidi w:val="0"/>
              <w:jc w:val="left"/>
              <w:rPr/>
            </w:pPr>
            <w:r>
              <w:rPr/>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500" w:type="dxa"/>
            <w:tcBorders>
              <w:bottom w:val="single" w:sz="8" w:space="0" w:color="B99C16"/>
            </w:tcBorders>
            <w:tcMar>
              <w:bottom w:w="28" w:type="dxa"/>
            </w:tcMar>
            <w:vAlign w:val="center"/>
          </w:tcPr>
          <w:p>
            <w:pPr>
              <w:pStyle w:val="TableContents"/>
              <w:bidi w:val="0"/>
              <w:spacing w:before="0" w:after="283"/>
              <w:jc w:val="right"/>
              <w:rPr/>
            </w:pPr>
            <w:r>
              <w:rPr/>
              <w:t>2023</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right"/>
              <w:rPr/>
            </w:pPr>
            <w:r>
              <w:rPr/>
              <w:t>617,308</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875" w:type="dxa"/>
            <w:tcBorders>
              <w:bottom w:val="single" w:sz="8" w:space="0" w:color="B99C16"/>
            </w:tcBorders>
            <w:tcMar>
              <w:bottom w:w="28" w:type="dxa"/>
            </w:tcMar>
            <w:vAlign w:val="center"/>
          </w:tcPr>
          <w:p>
            <w:pPr>
              <w:pStyle w:val="TableContents"/>
              <w:bidi w:val="0"/>
              <w:spacing w:before="0" w:after="283"/>
              <w:jc w:val="center"/>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100" w:type="dxa"/>
            <w:tcBorders>
              <w:bottom w:val="single" w:sz="8" w:space="0" w:color="B99C16"/>
            </w:tcBorders>
            <w:tcMar>
              <w:bottom w:w="28" w:type="dxa"/>
            </w:tcMar>
            <w:vAlign w:val="center"/>
          </w:tcPr>
          <w:p>
            <w:pPr>
              <w:pStyle w:val="TableContents"/>
              <w:bidi w:val="0"/>
              <w:spacing w:before="0" w:after="283"/>
              <w:jc w:val="right"/>
              <w:rPr/>
            </w:pPr>
            <w:r>
              <w:rPr/>
              <w:t>1,140,724</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85" w:type="dxa"/>
            <w:tcBorders>
              <w:bottom w:val="single" w:sz="8" w:space="0" w:color="B99C16"/>
            </w:tcBorders>
            <w:tcMar>
              <w:bottom w:w="28" w:type="dxa"/>
            </w:tcMar>
            <w:vAlign w:val="center"/>
          </w:tcPr>
          <w:p>
            <w:pPr>
              <w:pStyle w:val="TableContents"/>
              <w:bidi w:val="0"/>
              <w:spacing w:before="0" w:after="283"/>
              <w:jc w:val="left"/>
              <w:rPr/>
            </w:pPr>
            <w:r>
              <w:rPr/>
              <w:t> </w:t>
            </w:r>
          </w:p>
        </w:tc>
        <w:tc>
          <w:tcPr>
            <w:tcW w:w="1405" w:type="dxa"/>
            <w:tcBorders>
              <w:bottom w:val="single" w:sz="8" w:space="0" w:color="B99C16"/>
            </w:tcBorders>
            <w:tcMar>
              <w:bottom w:w="28" w:type="dxa"/>
            </w:tcMar>
            <w:vAlign w:val="center"/>
          </w:tcPr>
          <w:p>
            <w:pPr>
              <w:pStyle w:val="TableContents"/>
              <w:bidi w:val="0"/>
              <w:spacing w:before="0" w:after="283"/>
              <w:jc w:val="right"/>
              <w:rPr/>
            </w:pPr>
            <w:r>
              <w:rPr/>
              <w:t>684,152</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103" w:type="dxa"/>
            <w:tcBorders>
              <w:bottom w:val="single" w:sz="8" w:space="0" w:color="B99C16"/>
            </w:tcBorders>
            <w:tcMar>
              <w:bottom w:w="28" w:type="dxa"/>
            </w:tcMar>
            <w:vAlign w:val="center"/>
          </w:tcPr>
          <w:p>
            <w:pPr>
              <w:pStyle w:val="TableContents"/>
              <w:bidi w:val="0"/>
              <w:spacing w:before="0" w:after="283"/>
              <w:jc w:val="left"/>
              <w:rPr/>
            </w:pPr>
            <w:r>
              <w:rPr/>
              <w:t> </w:t>
            </w:r>
          </w:p>
        </w:tc>
        <w:tc>
          <w:tcPr>
            <w:tcW w:w="1387" w:type="dxa"/>
            <w:tcBorders>
              <w:bottom w:val="single" w:sz="8" w:space="0" w:color="B99C16"/>
            </w:tcBorders>
            <w:tcMar>
              <w:bottom w:w="28" w:type="dxa"/>
            </w:tcMar>
            <w:vAlign w:val="center"/>
          </w:tcPr>
          <w:p>
            <w:pPr>
              <w:pStyle w:val="TableContents"/>
              <w:bidi w:val="0"/>
              <w:spacing w:before="0" w:after="283"/>
              <w:jc w:val="right"/>
              <w:rPr/>
            </w:pPr>
            <w:r>
              <w:rPr/>
              <w:t>21,317</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100" w:type="dxa"/>
            <w:tcBorders>
              <w:bottom w:val="single" w:sz="8" w:space="0" w:color="B99C16"/>
            </w:tcBorders>
            <w:tcMar>
              <w:bottom w:w="28" w:type="dxa"/>
            </w:tcMar>
            <w:vAlign w:val="center"/>
          </w:tcPr>
          <w:p>
            <w:pPr>
              <w:pStyle w:val="TableContents"/>
              <w:bidi w:val="0"/>
              <w:spacing w:before="0" w:after="283"/>
              <w:jc w:val="right"/>
              <w:rPr/>
            </w:pPr>
            <w:r>
              <w:rPr/>
              <w:t>2,463,501</w:t>
            </w:r>
          </w:p>
        </w:tc>
        <w:tc>
          <w:tcPr>
            <w:tcW w:w="75" w:type="dxa"/>
            <w:tcBorders>
              <w:bottom w:val="single" w:sz="8" w:space="0" w:color="B99C16"/>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left"/>
              <w:rPr>
                <w:rFonts w:ascii="arial" w:hAnsi="arial"/>
                <w:sz w:val="18"/>
              </w:rPr>
            </w:pPr>
            <w:r>
              <w:rPr>
                <w:rFonts w:ascii="arial" w:hAnsi="arial"/>
                <w:sz w:val="18"/>
              </w:rPr>
              <w:t xml:space="preserve">In accordance with the SEC executive compensation disclosure rules, the amounts shown in 2025 for stock awards represent the grant date fair value of such awards determined in accordance with Financial Accounting Standards Board Accounting Standards Codification Topic 718, Compensation—Stock Compensation (“FASB ASC Topic 718”), but disregarding the estimate of forfeitures, in connection with service-based RSUs and PSUs granted pursuant to the ELTI to each of our NEOs in 2025. The amounts included in the Stock Awards column for the PSUs granted during 2025 are calculated based on the probable satisfaction of the performance conditions for such awards as of the date of grant. Assuming the highest level of performance is achieved for the 2025 PSUs, the maximum value of such PSUs at the grant date would be as follows: Mr. Carstanjen—$13,331,809; Mr. Mudd—$4,444,028; Ms. Dall—$2,555,487; and Mr. Blackwell—$1,888,814. See Note 10 to Consolidated Financial Statements included in our Annual Report on Form 10-K for the fiscal year ended December 31, 2025 for a discussion of the relevant assumptions used in calculating the amounts reported for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(2)</w:t>
            </w:r>
          </w:p>
        </w:tc>
        <w:tc>
          <w:tcPr>
            <w:tcW w:w="9911" w:type="dxa"/>
            <w:tcBorders/>
            <w:vAlign w:val="center"/>
          </w:tcPr>
          <w:p>
            <w:pPr>
              <w:pStyle w:val="TableContents"/>
              <w:bidi w:val="0"/>
              <w:spacing w:before="0" w:after="0"/>
              <w:jc w:val="left"/>
              <w:rPr>
                <w:rFonts w:ascii="arial" w:hAnsi="arial"/>
                <w:sz w:val="18"/>
              </w:rPr>
            </w:pPr>
            <w:r>
              <w:rPr>
                <w:rFonts w:ascii="arial" w:hAnsi="arial"/>
                <w:sz w:val="18"/>
              </w:rPr>
              <w:t xml:space="preserve">Amounts in this column represent payments for performance under the EAIP. The NEOs received their 2025 EAIP awards in February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arial" w:hAnsi="arial"/>
                <w:sz w:val="18"/>
              </w:rPr>
            </w:pPr>
            <w:r>
              <w:rPr>
                <w:rFonts w:ascii="arial" w:hAnsi="arial"/>
                <w:sz w:val="18"/>
              </w:rPr>
              <w:t xml:space="preserve">The table below shows the components of this column for 2025, which include the Company match for each individual’s defined contribution plan contributions, life insurance premiums, supplemental long-term disability insurance premiums, perquisites and other personal benefits.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(4)</w:t>
            </w:r>
          </w:p>
        </w:tc>
        <w:tc>
          <w:tcPr>
            <w:tcW w:w="9953" w:type="dxa"/>
            <w:tcBorders/>
            <w:vAlign w:val="center"/>
          </w:tcPr>
          <w:p>
            <w:pPr>
              <w:pStyle w:val="TableContents"/>
              <w:bidi w:val="0"/>
              <w:spacing w:before="0" w:after="0"/>
              <w:jc w:val="left"/>
              <w:rPr>
                <w:rFonts w:ascii="arial" w:hAnsi="arial"/>
                <w:sz w:val="18"/>
              </w:rPr>
            </w:pPr>
            <w:r>
              <w:rPr>
                <w:rFonts w:ascii="arial" w:hAnsi="arial"/>
                <w:sz w:val="18"/>
              </w:rPr>
              <w:t xml:space="preserve">On June 25, 2025, Ms. Adams notified the Company of her decision to retire from the Company effective December 31, 2025. To incentivize Ms. Adams to remain employed with the Company through December 31, 2025, the Company awarded Ms. Adams a retention award, with payment contingent on Ms. Adams’ continued employment through December 31, 2025.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42</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8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1" descr=""/>
                          <pic:cNvPicPr>
                            <a:picLocks noChangeAspect="1" noChangeArrowheads="1"/>
                          </pic:cNvPicPr>
                        </pic:nvPicPr>
                        <pic:blipFill>
                          <a:blip r:embed="rId82"/>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All Other Compensation for Fiscal Year Ended December 31, 2025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65" w:name="toc123994_55"/>
            <w:bookmarkEnd w:id="65"/>
            <w:r>
              <w:rPr>
                <w:rFonts w:ascii="arial" w:hAnsi="arial"/>
                <w:b/>
                <w:color w:val="004876"/>
                <w:sz w:val="48"/>
              </w:rPr>
              <w:t>ALL OTHER COMPENSATION FOR FISCAL YEAR ENDED DECEMBER 31, 2025</w:t>
            </w:r>
          </w:p>
          <w:p>
            <w:pPr>
              <w:pStyle w:val="TableContents"/>
              <w:bidi w:val="0"/>
              <w:spacing w:before="0" w:after="20"/>
              <w:jc w:val="left"/>
              <w:rPr/>
            </w:pPr>
            <w:r>
              <w:rPr/>
              <w:t> </w:t>
            </w:r>
          </w:p>
        </w:tc>
      </w:tr>
    </w:tbl>
    <w:p>
      <w:pPr>
        <w:pStyle w:val="TextBody"/>
        <w:bidi w:val="0"/>
        <w:spacing w:before="0" w:after="0"/>
        <w:jc w:val="left"/>
        <w:rPr/>
      </w:pPr>
      <w:r>
        <w:rPr/>
        <w:t> </w:t>
      </w:r>
    </w:p>
    <w:tbl>
      <w:tblPr>
        <w:tblW w:w="8354" w:type="dxa"/>
        <w:jc w:val="left"/>
        <w:tblInd w:w="0" w:type="dxa"/>
        <w:tblLayout w:type="fixed"/>
        <w:tblCellMar>
          <w:top w:w="0" w:type="dxa"/>
          <w:left w:w="0" w:type="dxa"/>
          <w:bottom w:w="0" w:type="dxa"/>
          <w:right w:w="0" w:type="dxa"/>
        </w:tblCellMar>
      </w:tblPr>
      <w:tblGrid>
        <w:gridCol w:w="2045"/>
        <w:gridCol w:w="120"/>
        <w:gridCol w:w="104"/>
        <w:gridCol w:w="1056"/>
        <w:gridCol w:w="60"/>
        <w:gridCol w:w="120"/>
        <w:gridCol w:w="91"/>
        <w:gridCol w:w="933"/>
        <w:gridCol w:w="60"/>
        <w:gridCol w:w="120"/>
        <w:gridCol w:w="119"/>
        <w:gridCol w:w="996"/>
        <w:gridCol w:w="60"/>
        <w:gridCol w:w="120"/>
        <w:gridCol w:w="70"/>
        <w:gridCol w:w="835"/>
        <w:gridCol w:w="60"/>
        <w:gridCol w:w="120"/>
        <w:gridCol w:w="92"/>
        <w:gridCol w:w="1098"/>
        <w:gridCol w:w="75"/>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45" w:type="dxa"/>
            <w:tcBorders/>
            <w:shd w:fill="004876" w:val="clear"/>
            <w:vAlign w:val="center"/>
          </w:tcPr>
          <w:p>
            <w:pPr>
              <w:pStyle w:val="TableContents"/>
              <w:bidi w:val="0"/>
              <w:spacing w:before="0" w:after="283"/>
              <w:jc w:val="left"/>
              <w:rPr>
                <w:sz w:val="4"/>
                <w:szCs w:val="4"/>
              </w:rPr>
            </w:pPr>
            <w:r>
              <w:rPr>
                <w:sz w:val="4"/>
                <w:szCs w:val="4"/>
              </w:rPr>
            </w:r>
          </w:p>
        </w:tc>
        <w:tc>
          <w:tcPr>
            <w:tcW w:w="1340" w:type="dxa"/>
            <w:gridSpan w:val="4"/>
            <w:tcBorders/>
            <w:shd w:fill="004876" w:val="clear"/>
            <w:vAlign w:val="center"/>
          </w:tcPr>
          <w:p>
            <w:pPr>
              <w:pStyle w:val="TableContents"/>
              <w:bidi w:val="0"/>
              <w:spacing w:before="0" w:after="283"/>
              <w:jc w:val="left"/>
              <w:rPr>
                <w:sz w:val="4"/>
                <w:szCs w:val="4"/>
              </w:rPr>
            </w:pPr>
            <w:r>
              <w:rPr>
                <w:sz w:val="4"/>
                <w:szCs w:val="4"/>
              </w:rPr>
            </w:r>
          </w:p>
        </w:tc>
        <w:tc>
          <w:tcPr>
            <w:tcW w:w="1204" w:type="dxa"/>
            <w:gridSpan w:val="4"/>
            <w:tcBorders/>
            <w:shd w:fill="004876" w:val="clear"/>
            <w:vAlign w:val="center"/>
          </w:tcPr>
          <w:p>
            <w:pPr>
              <w:pStyle w:val="TableContents"/>
              <w:bidi w:val="0"/>
              <w:spacing w:before="0" w:after="283"/>
              <w:jc w:val="left"/>
              <w:rPr>
                <w:sz w:val="4"/>
                <w:szCs w:val="4"/>
              </w:rPr>
            </w:pPr>
            <w:r>
              <w:rPr>
                <w:sz w:val="4"/>
                <w:szCs w:val="4"/>
              </w:rPr>
            </w:r>
          </w:p>
        </w:tc>
        <w:tc>
          <w:tcPr>
            <w:tcW w:w="1295" w:type="dxa"/>
            <w:gridSpan w:val="4"/>
            <w:tcBorders/>
            <w:shd w:fill="004876" w:val="clear"/>
            <w:vAlign w:val="center"/>
          </w:tcPr>
          <w:p>
            <w:pPr>
              <w:pStyle w:val="TableContents"/>
              <w:bidi w:val="0"/>
              <w:spacing w:before="0" w:after="283"/>
              <w:jc w:val="left"/>
              <w:rPr>
                <w:sz w:val="4"/>
                <w:szCs w:val="4"/>
              </w:rPr>
            </w:pPr>
            <w:r>
              <w:rPr>
                <w:sz w:val="4"/>
                <w:szCs w:val="4"/>
              </w:rPr>
            </w:r>
          </w:p>
        </w:tc>
        <w:tc>
          <w:tcPr>
            <w:tcW w:w="1085" w:type="dxa"/>
            <w:gridSpan w:val="4"/>
            <w:tcBorders/>
            <w:shd w:fill="004876" w:val="clear"/>
            <w:vAlign w:val="center"/>
          </w:tcPr>
          <w:p>
            <w:pPr>
              <w:pStyle w:val="TableContents"/>
              <w:bidi w:val="0"/>
              <w:spacing w:before="0" w:after="283"/>
              <w:jc w:val="left"/>
              <w:rPr>
                <w:sz w:val="4"/>
                <w:szCs w:val="4"/>
              </w:rPr>
            </w:pPr>
            <w:r>
              <w:rPr>
                <w:sz w:val="4"/>
                <w:szCs w:val="4"/>
              </w:rPr>
            </w:r>
          </w:p>
        </w:tc>
        <w:tc>
          <w:tcPr>
            <w:tcW w:w="1385" w:type="dxa"/>
            <w:gridSpan w:val="4"/>
            <w:tcBorders/>
            <w:shd w:fill="004876" w:val="clear"/>
            <w:vAlign w:val="center"/>
          </w:tcPr>
          <w:p>
            <w:pPr>
              <w:pStyle w:val="TableContents"/>
              <w:bidi w:val="0"/>
              <w:spacing w:before="0" w:after="283"/>
              <w:jc w:val="left"/>
              <w:rPr>
                <w:sz w:val="4"/>
                <w:szCs w:val="4"/>
              </w:rPr>
            </w:pPr>
            <w:r>
              <w:rPr>
                <w:sz w:val="4"/>
                <w:szCs w:val="4"/>
              </w:rPr>
            </w:r>
          </w:p>
        </w:tc>
      </w:tr>
      <w:tr>
        <w:trPr/>
        <w:tc>
          <w:tcPr>
            <w:tcW w:w="2045" w:type="dxa"/>
            <w:tcBorders>
              <w:bottom w:val="single" w:sz="6" w:space="0" w:color="004876"/>
            </w:tcBorders>
            <w:shd w:fill="004876" w:val="clear"/>
            <w:tcMar>
              <w:bottom w:w="12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1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Company</w:t>
              <w:br/>
              <w:t>Contributions</w:t>
              <w:br/>
              <w:t>Under Defined</w:t>
              <w:br/>
              <w:t>Contribution</w:t>
              <w:br/>
              <w:t>Plans(1)</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024" w:type="dxa"/>
            <w:gridSpan w:val="2"/>
            <w:tcBorders>
              <w:bottom w:val="single" w:sz="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Life</w:t>
              <w:br/>
              <w:t>Insurance</w:t>
              <w:br/>
              <w:t>Premiums(2)</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Supplemental</w:t>
              <w:br/>
              <w:t>Long-Term</w:t>
              <w:br/>
              <w:t>Disability</w:t>
              <w:br/>
              <w:t>Insurance</w:t>
              <w:br/>
              <w:t>Premiums(3)</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905" w:type="dxa"/>
            <w:gridSpan w:val="2"/>
            <w:tcBorders>
              <w:bottom w:val="single" w:sz="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Perquisites</w:t>
              <w:br/>
              <w:t>and Other</w:t>
              <w:br/>
              <w:t>Personal</w:t>
              <w:br/>
              <w:t>Benefits(4)</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90" w:type="dxa"/>
            <w:gridSpan w:val="2"/>
            <w:tcBorders>
              <w:bottom w:val="single" w:sz="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Total All Other</w:t>
              <w:br/>
              <w:t>Compensation</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7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r>
      <w:tr>
        <w:trPr/>
        <w:tc>
          <w:tcPr>
            <w:tcW w:w="2045" w:type="dxa"/>
            <w:tcBorders/>
            <w:shd w:fill="F4F0DC" w:val="clear"/>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04"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r>
      <w:tr>
        <w:trPr/>
        <w:tc>
          <w:tcPr>
            <w:tcW w:w="2045"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b/>
                <w:color w:val="004876"/>
                <w:sz w:val="20"/>
              </w:rPr>
            </w:pPr>
            <w:r>
              <w:rPr>
                <w:rFonts w:ascii="arial" w:hAnsi="arial"/>
                <w:b/>
                <w:color w:val="004876"/>
                <w:sz w:val="20"/>
              </w:rPr>
              <w:t>William C. Carstanjen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4"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056"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14,000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33"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21,414</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96"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1,801</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7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3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128,913</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09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166,128</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2045" w:type="dxa"/>
            <w:tcBorders/>
            <w:shd w:fill="F4F0DC" w:val="clear"/>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04"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r>
      <w:tr>
        <w:trPr/>
        <w:tc>
          <w:tcPr>
            <w:tcW w:w="2045"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b/>
                <w:color w:val="004876"/>
                <w:sz w:val="20"/>
              </w:rPr>
            </w:pPr>
            <w:r>
              <w:rPr>
                <w:rFonts w:ascii="arial" w:hAnsi="arial"/>
                <w:b/>
                <w:color w:val="004876"/>
                <w:sz w:val="20"/>
              </w:rPr>
              <w:t>William E. Mudd</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4"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056"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14,000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33"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7,055</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96"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3,260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7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3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66,372</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09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90,687</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2045" w:type="dxa"/>
            <w:tcBorders/>
            <w:shd w:fill="F4F0DC" w:val="clear"/>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04"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r>
      <w:tr>
        <w:trPr/>
        <w:tc>
          <w:tcPr>
            <w:tcW w:w="2045"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b/>
                <w:color w:val="004876"/>
                <w:sz w:val="20"/>
              </w:rPr>
            </w:pPr>
            <w:r>
              <w:rPr>
                <w:rFonts w:ascii="arial" w:hAnsi="arial"/>
                <w:b/>
                <w:color w:val="004876"/>
                <w:sz w:val="20"/>
              </w:rPr>
              <w:t>Marcia A. Dall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4"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056"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14,000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33"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16,193</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96"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7,041</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7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3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39,120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09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76,354</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2045" w:type="dxa"/>
            <w:tcBorders/>
            <w:shd w:fill="F4F0DC" w:val="clear"/>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04"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r>
      <w:tr>
        <w:trPr/>
        <w:tc>
          <w:tcPr>
            <w:tcW w:w="2045"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b/>
                <w:color w:val="004876"/>
                <w:sz w:val="20"/>
              </w:rPr>
            </w:pPr>
            <w:r>
              <w:rPr>
                <w:rFonts w:ascii="arial" w:hAnsi="arial"/>
                <w:b/>
                <w:color w:val="004876"/>
                <w:sz w:val="20"/>
              </w:rPr>
              <w:t>Bradley K. Blackwell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4"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056"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14,000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33"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4,888</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96"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3,337</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7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3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09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22,225</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2045" w:type="dxa"/>
            <w:tcBorders/>
            <w:shd w:fill="F4F0DC" w:val="clear"/>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04"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r>
      <w:tr>
        <w:trPr/>
        <w:tc>
          <w:tcPr>
            <w:tcW w:w="2045"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b/>
                <w:color w:val="004876"/>
                <w:sz w:val="20"/>
              </w:rPr>
            </w:pPr>
            <w:r>
              <w:rPr>
                <w:rFonts w:ascii="arial" w:hAnsi="arial"/>
                <w:b/>
                <w:color w:val="004876"/>
                <w:sz w:val="20"/>
              </w:rPr>
              <w:t>Maureen Adams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4"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056"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14,000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1"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33"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12,668</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9"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996"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6,264</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7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3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9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09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32,932</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bl>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305"/>
        <w:gridCol w:w="5225"/>
      </w:tblGrid>
      <w:tr>
        <w:trPr/>
        <w:tc>
          <w:tcPr>
            <w:tcW w:w="305" w:type="dxa"/>
            <w:tcBorders/>
            <w:vAlign w:val="center"/>
          </w:tcPr>
          <w:p>
            <w:pPr>
              <w:pStyle w:val="TableContents"/>
              <w:bidi w:val="0"/>
              <w:spacing w:before="0" w:after="283"/>
              <w:jc w:val="left"/>
              <w:rPr/>
            </w:pPr>
            <w:r>
              <w:rPr/>
              <w:t>(1)</w:t>
            </w:r>
          </w:p>
        </w:tc>
        <w:tc>
          <w:tcPr>
            <w:tcW w:w="5225" w:type="dxa"/>
            <w:tcBorders/>
            <w:vAlign w:val="center"/>
          </w:tcPr>
          <w:p>
            <w:pPr>
              <w:pStyle w:val="TableContents"/>
              <w:bidi w:val="0"/>
              <w:spacing w:before="0" w:after="0"/>
              <w:jc w:val="left"/>
              <w:rPr>
                <w:rFonts w:ascii="arial" w:hAnsi="arial"/>
                <w:sz w:val="18"/>
              </w:rPr>
            </w:pPr>
            <w:r>
              <w:rPr>
                <w:rFonts w:ascii="arial" w:hAnsi="arial"/>
                <w:sz w:val="18"/>
              </w:rPr>
              <w:t xml:space="preserve">This amount consists of Company contributions to 401(k)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arial" w:hAnsi="arial"/>
                <w:sz w:val="18"/>
              </w:rPr>
            </w:pPr>
            <w:r>
              <w:rPr>
                <w:rFonts w:ascii="arial" w:hAnsi="arial"/>
                <w:sz w:val="18"/>
              </w:rPr>
              <w:t xml:space="preserve">The NEOs receive the following life insurance coverage: (a) Basic Employee Life Insurance policy (“Base Life”) equal to two times (2x) base salary with a $650,000 maximum, and (b) Executive Life Insurance policy (“Executive Life”) equal to two times (2X) base salary. The amounts in this column are the total premiums for the NEOs’ coverage of Base Life and Executive Life. With respect to Base Life, the premiums were $3,096 for Mr. Carstanjen, $1,656 for Mr. Mudd, $4,752 for Ms. Dall, $1,656 for Mr. Blackwell, and $4,752 for Ms. Adams. With respect to Executive Life, the premiums were $18,318 for Mr. Carstanjen, $5,399 for Mr. Mudd, $11,441 for Ms. Dall, $3,232 for Mr. Blackwell, and $7,916 for Ms. Adams.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left"/>
              <w:rPr>
                <w:rFonts w:ascii="arial" w:hAnsi="arial"/>
                <w:sz w:val="18"/>
              </w:rPr>
            </w:pPr>
            <w:r>
              <w:rPr>
                <w:rFonts w:ascii="arial" w:hAnsi="arial"/>
                <w:sz w:val="18"/>
              </w:rPr>
              <w:t xml:space="preserve">The NEOs receive long-term disability coverage equal to sixty percent (60%) of their base salary with a $10,000 per month maximum in the event of a long-term disability. The Company offers supplemental long-term disability income insurance to help fill the gap between the executive’s regular monthly net income and the amount that would be paid under the Company’s standard long-term disability insurance policy that is available to other salaried employees. The amounts in this column are the premiums for the NEOs’ supplemental coverage paid by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0"/>
              <w:jc w:val="left"/>
              <w:rPr>
                <w:rFonts w:ascii="arial" w:hAnsi="arial"/>
                <w:sz w:val="18"/>
              </w:rPr>
            </w:pPr>
            <w:r>
              <w:rPr>
                <w:rFonts w:ascii="arial" w:hAnsi="arial"/>
                <w:sz w:val="18"/>
              </w:rPr>
              <w:t xml:space="preserve">For Mr. Carstanjen, Perquisites and Other Personal Benefits consisted of (a) $92,287 representing the aggregate incremental cost for use of the Company’s aircraft, and (b) $36,626 representing security upgrades to his personal residence. For Mr. Mudd and Ms. Dall, Perquisites and Other Personal Benefits represent the aggregate incremental cost for such NEO’s use of the Company’s aircraft. The aggregate incremental cost for use of the aircraft is calculated based on the incremental cost to the Company for fuel, crew travel expenses, landing fees, trip-related hangar/parking costs, and other miscellaneous variable costs of operating the aircraft. Since the Company’s aircraft is used primarily for business travel, we do not include the fixed costs that do not change based on usage, such as pilots’ salaries, depreciation of the purchase costs of our aircraft, and the cost of maintenance not specifically related to trips. From time to time, certain family members or other guests will accompany the NEOs on personal trips when using Company-owned aircraft, at a nominal or no incremental cost to the Company.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8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2" descr=""/>
                          <pic:cNvPicPr>
                            <a:picLocks noChangeAspect="1" noChangeArrowheads="1"/>
                          </pic:cNvPicPr>
                        </pic:nvPicPr>
                        <pic:blipFill>
                          <a:blip r:embed="rId83"/>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43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Grants of Plan-Based Awards for Fiscal Year Ended December 31, 2025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66" w:name="toc123994_56"/>
            <w:bookmarkEnd w:id="66"/>
            <w:r>
              <w:rPr>
                <w:rFonts w:ascii="arial" w:hAnsi="arial"/>
                <w:b/>
                <w:color w:val="004876"/>
                <w:sz w:val="48"/>
              </w:rPr>
              <w:t>GRANTS OF PLAN-BASED AWARDS FOR FISCAL YEAR ENDED DECEMBER 31, 2025</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The grants in the following table are generally described in the CD&amp;A, beginning on page 26. </w:t>
      </w:r>
    </w:p>
    <w:p>
      <w:pPr>
        <w:pStyle w:val="TextBody"/>
        <w:bidi w:val="0"/>
        <w:spacing w:before="0" w:after="0"/>
        <w:jc w:val="left"/>
        <w:rPr/>
      </w:pPr>
      <w:r>
        <w:rPr/>
        <w:t> </w:t>
      </w:r>
    </w:p>
    <w:tbl>
      <w:tblPr>
        <w:tblW w:w="12700" w:type="dxa"/>
        <w:jc w:val="left"/>
        <w:tblInd w:w="0" w:type="dxa"/>
        <w:tblLayout w:type="fixed"/>
        <w:tblCellMar>
          <w:top w:w="0" w:type="dxa"/>
          <w:left w:w="0" w:type="dxa"/>
          <w:bottom w:w="0" w:type="dxa"/>
          <w:right w:w="0" w:type="dxa"/>
        </w:tblCellMar>
      </w:tblPr>
      <w:tblGrid>
        <w:gridCol w:w="1865"/>
        <w:gridCol w:w="60"/>
        <w:gridCol w:w="60"/>
        <w:gridCol w:w="995"/>
        <w:gridCol w:w="60"/>
        <w:gridCol w:w="60"/>
        <w:gridCol w:w="60"/>
        <w:gridCol w:w="575"/>
        <w:gridCol w:w="60"/>
        <w:gridCol w:w="60"/>
        <w:gridCol w:w="1070"/>
        <w:gridCol w:w="60"/>
        <w:gridCol w:w="60"/>
        <w:gridCol w:w="980"/>
        <w:gridCol w:w="60"/>
        <w:gridCol w:w="60"/>
        <w:gridCol w:w="60"/>
        <w:gridCol w:w="980"/>
        <w:gridCol w:w="60"/>
        <w:gridCol w:w="60"/>
        <w:gridCol w:w="86"/>
        <w:gridCol w:w="984"/>
        <w:gridCol w:w="60"/>
        <w:gridCol w:w="60"/>
        <w:gridCol w:w="60"/>
        <w:gridCol w:w="680"/>
        <w:gridCol w:w="60"/>
        <w:gridCol w:w="60"/>
        <w:gridCol w:w="60"/>
        <w:gridCol w:w="800"/>
        <w:gridCol w:w="60"/>
        <w:gridCol w:w="60"/>
        <w:gridCol w:w="91"/>
        <w:gridCol w:w="1039"/>
        <w:gridCol w:w="60"/>
        <w:gridCol w:w="60"/>
        <w:gridCol w:w="60"/>
        <w:gridCol w:w="980"/>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004876" w:val="clear"/>
            <w:vAlign w:val="center"/>
          </w:tcPr>
          <w:p>
            <w:pPr>
              <w:pStyle w:val="TableContents"/>
              <w:bidi w:val="0"/>
              <w:spacing w:before="0" w:after="283"/>
              <w:jc w:val="left"/>
              <w:rPr>
                <w:sz w:val="4"/>
                <w:szCs w:val="4"/>
              </w:rPr>
            </w:pPr>
            <w:r>
              <w:rPr>
                <w:sz w:val="4"/>
                <w:szCs w:val="4"/>
              </w:rPr>
            </w:r>
          </w:p>
        </w:tc>
        <w:tc>
          <w:tcPr>
            <w:tcW w:w="1175" w:type="dxa"/>
            <w:gridSpan w:val="4"/>
            <w:tcBorders/>
            <w:shd w:fill="004876" w:val="clear"/>
            <w:vAlign w:val="center"/>
          </w:tcPr>
          <w:p>
            <w:pPr>
              <w:pStyle w:val="TableContents"/>
              <w:bidi w:val="0"/>
              <w:spacing w:before="0" w:after="283"/>
              <w:jc w:val="left"/>
              <w:rPr>
                <w:sz w:val="4"/>
                <w:szCs w:val="4"/>
              </w:rPr>
            </w:pPr>
            <w:r>
              <w:rPr>
                <w:sz w:val="4"/>
                <w:szCs w:val="4"/>
              </w:rPr>
            </w:r>
          </w:p>
        </w:tc>
        <w:tc>
          <w:tcPr>
            <w:tcW w:w="755" w:type="dxa"/>
            <w:gridSpan w:val="4"/>
            <w:tcBorders/>
            <w:shd w:fill="004876" w:val="clear"/>
            <w:vAlign w:val="center"/>
          </w:tcPr>
          <w:p>
            <w:pPr>
              <w:pStyle w:val="TableContents"/>
              <w:bidi w:val="0"/>
              <w:spacing w:before="0" w:after="283"/>
              <w:jc w:val="left"/>
              <w:rPr>
                <w:sz w:val="4"/>
                <w:szCs w:val="4"/>
              </w:rPr>
            </w:pPr>
            <w:r>
              <w:rPr>
                <w:sz w:val="4"/>
                <w:szCs w:val="4"/>
              </w:rPr>
            </w:r>
          </w:p>
        </w:tc>
        <w:tc>
          <w:tcPr>
            <w:tcW w:w="3450" w:type="dxa"/>
            <w:gridSpan w:val="10"/>
            <w:tcBorders/>
            <w:shd w:fill="004876" w:val="clear"/>
            <w:vAlign w:val="center"/>
          </w:tcPr>
          <w:p>
            <w:pPr>
              <w:pStyle w:val="TableContents"/>
              <w:bidi w:val="0"/>
              <w:spacing w:before="0" w:after="283"/>
              <w:jc w:val="left"/>
              <w:rPr>
                <w:sz w:val="4"/>
                <w:szCs w:val="4"/>
              </w:rPr>
            </w:pPr>
            <w:r>
              <w:rPr>
                <w:sz w:val="4"/>
                <w:szCs w:val="4"/>
              </w:rPr>
            </w:r>
          </w:p>
        </w:tc>
        <w:tc>
          <w:tcPr>
            <w:tcW w:w="3030" w:type="dxa"/>
            <w:gridSpan w:val="12"/>
            <w:tcBorders/>
            <w:shd w:fill="004876" w:val="clear"/>
            <w:vAlign w:val="center"/>
          </w:tcPr>
          <w:p>
            <w:pPr>
              <w:pStyle w:val="TableContents"/>
              <w:bidi w:val="0"/>
              <w:spacing w:before="0" w:after="283"/>
              <w:jc w:val="left"/>
              <w:rPr>
                <w:sz w:val="4"/>
                <w:szCs w:val="4"/>
              </w:rPr>
            </w:pPr>
            <w:r>
              <w:rPr>
                <w:sz w:val="4"/>
                <w:szCs w:val="4"/>
              </w:rPr>
            </w:r>
          </w:p>
        </w:tc>
        <w:tc>
          <w:tcPr>
            <w:tcW w:w="1250" w:type="dxa"/>
            <w:gridSpan w:val="4"/>
            <w:tcBorders/>
            <w:shd w:fill="004876" w:val="clear"/>
            <w:vAlign w:val="center"/>
          </w:tcPr>
          <w:p>
            <w:pPr>
              <w:pStyle w:val="TableContents"/>
              <w:bidi w:val="0"/>
              <w:spacing w:before="0" w:after="283"/>
              <w:jc w:val="left"/>
              <w:rPr>
                <w:sz w:val="4"/>
                <w:szCs w:val="4"/>
              </w:rPr>
            </w:pPr>
            <w:r>
              <w:rPr>
                <w:sz w:val="4"/>
                <w:szCs w:val="4"/>
              </w:rPr>
            </w:r>
          </w:p>
        </w:tc>
        <w:tc>
          <w:tcPr>
            <w:tcW w:w="1175" w:type="dxa"/>
            <w:gridSpan w:val="4"/>
            <w:tcBorders/>
            <w:shd w:fill="004876" w:val="clear"/>
            <w:vAlign w:val="center"/>
          </w:tcPr>
          <w:p>
            <w:pPr>
              <w:pStyle w:val="TableContents"/>
              <w:bidi w:val="0"/>
              <w:spacing w:before="0" w:after="283"/>
              <w:jc w:val="left"/>
              <w:rPr>
                <w:sz w:val="4"/>
                <w:szCs w:val="4"/>
              </w:rPr>
            </w:pPr>
            <w:r>
              <w:rPr>
                <w:sz w:val="4"/>
                <w:szCs w:val="4"/>
              </w:rPr>
            </w:r>
          </w:p>
        </w:tc>
      </w:tr>
      <w:tr>
        <w:trPr/>
        <w:tc>
          <w:tcPr>
            <w:tcW w:w="186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055" w:type="dxa"/>
            <w:gridSpan w:val="2"/>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35" w:type="dxa"/>
            <w:gridSpan w:val="2"/>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3330" w:type="dxa"/>
            <w:gridSpan w:val="8"/>
            <w:tcBorders>
              <w:bottom w:val="single" w:sz="2" w:space="0" w:color="FFFFFF"/>
            </w:tcBorders>
            <w:shd w:fill="004876" w:val="clear"/>
            <w:tcMar>
              <w:bottom w:w="80" w:type="dxa"/>
            </w:tcMar>
            <w:vAlign w:val="center"/>
          </w:tcPr>
          <w:p>
            <w:pPr>
              <w:pStyle w:val="TableContents"/>
              <w:bidi w:val="0"/>
              <w:spacing w:before="0" w:after="283"/>
              <w:jc w:val="center"/>
              <w:rPr>
                <w:b/>
                <w:color w:val="FFFFFF"/>
              </w:rPr>
            </w:pPr>
            <w:r>
              <w:rPr>
                <w:b/>
                <w:color w:val="FFFFFF"/>
              </w:rPr>
              <w:t>Estimated Future Payout</w:t>
              <w:br/>
              <w:t>under</w:t>
              <w:br/>
              <w:t>Non-Equity Incentive Plan</w:t>
              <w:br/>
              <w:t>Awards(1)</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2910" w:type="dxa"/>
            <w:gridSpan w:val="10"/>
            <w:tcBorders>
              <w:bottom w:val="single" w:sz="2" w:space="0" w:color="FFFFFF"/>
            </w:tcBorders>
            <w:shd w:fill="004876" w:val="clear"/>
            <w:tcMar>
              <w:bottom w:w="80" w:type="dxa"/>
            </w:tcMar>
            <w:vAlign w:val="center"/>
          </w:tcPr>
          <w:p>
            <w:pPr>
              <w:pStyle w:val="TableContents"/>
              <w:bidi w:val="0"/>
              <w:spacing w:before="0" w:after="283"/>
              <w:jc w:val="center"/>
              <w:rPr>
                <w:b/>
                <w:color w:val="FFFFFF"/>
              </w:rPr>
            </w:pPr>
            <w:r>
              <w:rPr>
                <w:b/>
                <w:color w:val="FFFFFF"/>
              </w:rPr>
              <w:t>Estimated Future Payout</w:t>
              <w:br/>
              <w:t>under</w:t>
              <w:br/>
              <w:t>Equity Incentive Plan</w:t>
              <w:br/>
              <w:t>Awards(2)</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30" w:type="dxa"/>
            <w:gridSpan w:val="2"/>
            <w:vMerge w:val="restart"/>
            <w:tcBorders>
              <w:bottom w:val="single" w:sz="6" w:space="0" w:color="004876"/>
            </w:tcBorders>
            <w:shd w:fill="004876" w:val="clear"/>
            <w:tcMar>
              <w:bottom w:w="80" w:type="dxa"/>
            </w:tcMar>
            <w:vAlign w:val="center"/>
          </w:tcPr>
          <w:p>
            <w:pPr>
              <w:pStyle w:val="TableContents"/>
              <w:bidi w:val="0"/>
              <w:spacing w:before="0" w:after="283"/>
              <w:jc w:val="center"/>
              <w:rPr>
                <w:b/>
                <w:color w:val="FFFFFF"/>
              </w:rPr>
            </w:pPr>
            <w:r>
              <w:rPr>
                <w:b/>
                <w:color w:val="FFFFFF"/>
              </w:rPr>
              <w:t>All Other</w:t>
              <w:br/>
              <w:t>Stock</w:t>
              <w:br/>
              <w:t>Awards:</w:t>
              <w:br/>
              <w:t>Number of</w:t>
              <w:br/>
              <w:t>Shares of</w:t>
              <w:br/>
              <w:t>Stock or</w:t>
              <w:br/>
              <w:t>Units (#)(3)</w:t>
            </w:r>
          </w:p>
        </w:tc>
        <w:tc>
          <w:tcPr>
            <w:tcW w:w="60" w:type="dxa"/>
            <w:vMerge w:val="restart"/>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040" w:type="dxa"/>
            <w:gridSpan w:val="2"/>
            <w:vMerge w:val="restart"/>
            <w:tcBorders>
              <w:bottom w:val="single" w:sz="6" w:space="0" w:color="004876"/>
            </w:tcBorders>
            <w:shd w:fill="004876" w:val="clear"/>
            <w:tcMar>
              <w:bottom w:w="80" w:type="dxa"/>
            </w:tcMar>
            <w:vAlign w:val="center"/>
          </w:tcPr>
          <w:p>
            <w:pPr>
              <w:pStyle w:val="TableContents"/>
              <w:bidi w:val="0"/>
              <w:spacing w:before="0" w:after="283"/>
              <w:jc w:val="center"/>
              <w:rPr>
                <w:b/>
                <w:color w:val="FFFFFF"/>
              </w:rPr>
            </w:pPr>
            <w:r>
              <w:rPr>
                <w:b/>
                <w:color w:val="FFFFFF"/>
              </w:rPr>
              <w:t>Grant</w:t>
              <w:br/>
              <w:t>Date Fair</w:t>
              <w:br/>
              <w:t>Value of</w:t>
              <w:br/>
              <w:t>Stock</w:t>
              <w:br/>
              <w:t>Awards</w:t>
              <w:br/>
              <w:t>($)</w:t>
            </w:r>
          </w:p>
        </w:tc>
        <w:tc>
          <w:tcPr>
            <w:tcW w:w="75" w:type="dxa"/>
            <w:vMerge w:val="restart"/>
            <w:tcBorders>
              <w:bottom w:val="single" w:sz="6" w:space="0" w:color="004876"/>
            </w:tcBorders>
            <w:shd w:fill="004876" w:val="clear"/>
            <w:tcMar>
              <w:bottom w:w="28" w:type="dxa"/>
            </w:tcMar>
            <w:vAlign w:val="center"/>
          </w:tcPr>
          <w:p>
            <w:pPr>
              <w:pStyle w:val="TableContents"/>
              <w:bidi w:val="0"/>
              <w:spacing w:before="0" w:after="283"/>
              <w:jc w:val="left"/>
              <w:rPr/>
            </w:pPr>
            <w:r>
              <w:rPr/>
              <w:t> </w:t>
            </w:r>
          </w:p>
        </w:tc>
      </w:tr>
      <w:tr>
        <w:trPr/>
        <w:tc>
          <w:tcPr>
            <w:tcW w:w="1865" w:type="dxa"/>
            <w:tcBorders>
              <w:bottom w:val="single" w:sz="6" w:space="0" w:color="004876"/>
            </w:tcBorders>
            <w:shd w:fill="004876" w:val="clear"/>
            <w:tcMar>
              <w:bottom w:w="8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055" w:type="dxa"/>
            <w:gridSpan w:val="2"/>
            <w:tcBorders>
              <w:bottom w:val="single" w:sz="6" w:space="0" w:color="004876"/>
            </w:tcBorders>
            <w:shd w:fill="004876" w:val="clear"/>
            <w:tcMar>
              <w:bottom w:w="80" w:type="dxa"/>
            </w:tcMar>
            <w:vAlign w:val="center"/>
          </w:tcPr>
          <w:p>
            <w:pPr>
              <w:pStyle w:val="TableContents"/>
              <w:bidi w:val="0"/>
              <w:spacing w:before="0" w:after="283"/>
              <w:jc w:val="center"/>
              <w:rPr>
                <w:b/>
                <w:color w:val="FFFFFF"/>
              </w:rPr>
            </w:pPr>
            <w:r>
              <w:rPr>
                <w:b/>
                <w:color w:val="FFFFFF"/>
              </w:rPr>
              <w:t>Approved</w:t>
              <w:br/>
              <w:t>Date</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35" w:type="dxa"/>
            <w:gridSpan w:val="2"/>
            <w:tcBorders>
              <w:bottom w:val="single" w:sz="6" w:space="0" w:color="004876"/>
            </w:tcBorders>
            <w:shd w:fill="004876" w:val="clear"/>
            <w:tcMar>
              <w:bottom w:w="80" w:type="dxa"/>
            </w:tcMar>
            <w:vAlign w:val="center"/>
          </w:tcPr>
          <w:p>
            <w:pPr>
              <w:pStyle w:val="TableContents"/>
              <w:bidi w:val="0"/>
              <w:spacing w:before="0" w:after="283"/>
              <w:jc w:val="center"/>
              <w:rPr>
                <w:b/>
                <w:color w:val="FFFFFF"/>
              </w:rPr>
            </w:pPr>
            <w:r>
              <w:rPr>
                <w:b/>
                <w:color w:val="FFFFFF"/>
              </w:rPr>
              <w:t>Grant</w:t>
              <w:br/>
              <w:t>Date</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070" w:type="dxa"/>
            <w:tcBorders>
              <w:bottom w:val="single" w:sz="6" w:space="0" w:color="004876"/>
            </w:tcBorders>
            <w:shd w:fill="004876" w:val="clear"/>
            <w:tcMar>
              <w:bottom w:w="80" w:type="dxa"/>
            </w:tcMar>
            <w:vAlign w:val="center"/>
          </w:tcPr>
          <w:p>
            <w:pPr>
              <w:pStyle w:val="TableContents"/>
              <w:bidi w:val="0"/>
              <w:spacing w:before="0" w:after="283"/>
              <w:jc w:val="center"/>
              <w:rPr>
                <w:b/>
                <w:color w:val="FFFFFF"/>
              </w:rPr>
            </w:pPr>
            <w:r>
              <w:rPr>
                <w:b/>
                <w:color w:val="FFFFFF"/>
              </w:rPr>
              <w:t>Threshold</w:t>
              <w:br/>
              <w:t xml:space="preserve">($)(4)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4876"/>
            </w:tcBorders>
            <w:shd w:fill="004876" w:val="clear"/>
            <w:tcMar>
              <w:bottom w:w="80" w:type="dxa"/>
            </w:tcMar>
            <w:vAlign w:val="center"/>
          </w:tcPr>
          <w:p>
            <w:pPr>
              <w:pStyle w:val="TableContents"/>
              <w:bidi w:val="0"/>
              <w:spacing w:before="0" w:after="283"/>
              <w:jc w:val="center"/>
              <w:rPr>
                <w:b/>
                <w:color w:val="FFFFFF"/>
              </w:rPr>
            </w:pPr>
            <w:r>
              <w:rPr>
                <w:b/>
                <w:color w:val="FFFFFF"/>
              </w:rPr>
              <w:t>Target</w:t>
              <w:br/>
              <w:t>($)</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4876"/>
            </w:tcBorders>
            <w:shd w:fill="004876" w:val="clear"/>
            <w:tcMar>
              <w:bottom w:w="80" w:type="dxa"/>
            </w:tcMar>
            <w:vAlign w:val="center"/>
          </w:tcPr>
          <w:p>
            <w:pPr>
              <w:pStyle w:val="TableContents"/>
              <w:bidi w:val="0"/>
              <w:spacing w:before="0" w:after="283"/>
              <w:jc w:val="center"/>
              <w:rPr>
                <w:b/>
                <w:color w:val="FFFFFF"/>
              </w:rPr>
            </w:pPr>
            <w:r>
              <w:rPr>
                <w:b/>
                <w:color w:val="FFFFFF"/>
              </w:rPr>
              <w:t>Max</w:t>
              <w:br/>
              <w:t>($)</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070" w:type="dxa"/>
            <w:gridSpan w:val="2"/>
            <w:tcBorders>
              <w:bottom w:val="single" w:sz="6" w:space="0" w:color="004876"/>
            </w:tcBorders>
            <w:shd w:fill="004876" w:val="clear"/>
            <w:tcMar>
              <w:bottom w:w="80" w:type="dxa"/>
            </w:tcMar>
            <w:vAlign w:val="center"/>
          </w:tcPr>
          <w:p>
            <w:pPr>
              <w:pStyle w:val="TableContents"/>
              <w:bidi w:val="0"/>
              <w:spacing w:before="0" w:after="283"/>
              <w:jc w:val="center"/>
              <w:rPr>
                <w:b/>
                <w:color w:val="FFFFFF"/>
              </w:rPr>
            </w:pPr>
            <w:r>
              <w:rPr>
                <w:b/>
                <w:color w:val="FFFFFF"/>
              </w:rPr>
              <w:t>Threshold</w:t>
              <w:br/>
              <w:t>(#)</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740" w:type="dxa"/>
            <w:gridSpan w:val="2"/>
            <w:tcBorders>
              <w:bottom w:val="single" w:sz="6" w:space="0" w:color="004876"/>
            </w:tcBorders>
            <w:shd w:fill="004876" w:val="clear"/>
            <w:tcMar>
              <w:bottom w:w="80" w:type="dxa"/>
            </w:tcMar>
            <w:vAlign w:val="center"/>
          </w:tcPr>
          <w:p>
            <w:pPr>
              <w:pStyle w:val="TableContents"/>
              <w:bidi w:val="0"/>
              <w:spacing w:before="0" w:after="283"/>
              <w:jc w:val="center"/>
              <w:rPr>
                <w:b/>
                <w:color w:val="FFFFFF"/>
              </w:rPr>
            </w:pPr>
            <w:r>
              <w:rPr>
                <w:b/>
                <w:color w:val="FFFFFF"/>
              </w:rPr>
              <w:t>Target</w:t>
              <w:br/>
              <w:t>(#)</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860" w:type="dxa"/>
            <w:gridSpan w:val="2"/>
            <w:tcBorders>
              <w:bottom w:val="single" w:sz="6" w:space="0" w:color="004876"/>
            </w:tcBorders>
            <w:shd w:fill="004876" w:val="clear"/>
            <w:tcMar>
              <w:bottom w:w="80" w:type="dxa"/>
            </w:tcMar>
            <w:vAlign w:val="center"/>
          </w:tcPr>
          <w:p>
            <w:pPr>
              <w:pStyle w:val="TableContents"/>
              <w:bidi w:val="0"/>
              <w:spacing w:before="0" w:after="283"/>
              <w:jc w:val="center"/>
              <w:rPr>
                <w:b/>
                <w:color w:val="FFFFFF"/>
              </w:rPr>
            </w:pPr>
            <w:r>
              <w:rPr>
                <w:b/>
                <w:color w:val="FFFFFF"/>
              </w:rPr>
              <w:t>Max</w:t>
              <w:br/>
              <w:t>(#)</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vMerge w:val="continue"/>
            <w:tcBorders>
              <w:bottom w:val="single" w:sz="6" w:space="0" w:color="004876"/>
            </w:tcBorders>
            <w:shd w:fill="004876" w:val="clear"/>
            <w:tcMar>
              <w:bottom w:w="28" w:type="dxa"/>
            </w:tcMar>
            <w:vAlign w:val="center"/>
          </w:tcPr>
          <w:p>
            <w:pPr>
              <w:pStyle w:val="Normal"/>
              <w:bidi w:val="0"/>
              <w:jc w:val="left"/>
              <w:rPr/>
            </w:pPr>
            <w:r>
              <w:rPr/>
            </w:r>
          </w:p>
        </w:tc>
        <w:tc>
          <w:tcPr>
            <w:tcW w:w="1130" w:type="dxa"/>
            <w:gridSpan w:val="2"/>
            <w:vMerge w:val="continue"/>
            <w:tcBorders>
              <w:bottom w:val="single" w:sz="6" w:space="0" w:color="004876"/>
            </w:tcBorders>
            <w:shd w:fill="004876" w:val="clear"/>
            <w:tcMar>
              <w:bottom w:w="80" w:type="dxa"/>
            </w:tcMar>
            <w:vAlign w:val="center"/>
          </w:tcPr>
          <w:p>
            <w:pPr>
              <w:pStyle w:val="Normal"/>
              <w:bidi w:val="0"/>
              <w:jc w:val="left"/>
              <w:rPr/>
            </w:pPr>
            <w:r>
              <w:rPr/>
            </w:r>
          </w:p>
        </w:tc>
        <w:tc>
          <w:tcPr>
            <w:tcW w:w="60" w:type="dxa"/>
            <w:vMerge w:val="continue"/>
            <w:tcBorders>
              <w:bottom w:val="single" w:sz="6" w:space="0" w:color="004876"/>
            </w:tcBorders>
            <w:shd w:fill="004876" w:val="clear"/>
            <w:tcMar>
              <w:bottom w:w="28" w:type="dxa"/>
            </w:tcMar>
            <w:vAlign w:val="center"/>
          </w:tcPr>
          <w:p>
            <w:pPr>
              <w:pStyle w:val="Normal"/>
              <w:bidi w:val="0"/>
              <w:jc w:val="left"/>
              <w:rPr/>
            </w:pPr>
            <w:r>
              <w:rPr/>
            </w:r>
          </w:p>
        </w:tc>
        <w:tc>
          <w:tcPr>
            <w:tcW w:w="60" w:type="dxa"/>
            <w:vMerge w:val="continue"/>
            <w:tcBorders>
              <w:bottom w:val="single" w:sz="6" w:space="0" w:color="004876"/>
            </w:tcBorders>
            <w:shd w:fill="004876" w:val="clear"/>
            <w:tcMar>
              <w:bottom w:w="80" w:type="dxa"/>
            </w:tcMar>
            <w:vAlign w:val="center"/>
          </w:tcPr>
          <w:p>
            <w:pPr>
              <w:pStyle w:val="Normal"/>
              <w:bidi w:val="0"/>
              <w:jc w:val="left"/>
              <w:rPr/>
            </w:pPr>
            <w:r>
              <w:rPr/>
            </w:r>
          </w:p>
        </w:tc>
        <w:tc>
          <w:tcPr>
            <w:tcW w:w="1040" w:type="dxa"/>
            <w:gridSpan w:val="2"/>
            <w:vMerge w:val="continue"/>
            <w:tcBorders>
              <w:bottom w:val="single" w:sz="6" w:space="0" w:color="004876"/>
            </w:tcBorders>
            <w:shd w:fill="004876" w:val="clear"/>
            <w:tcMar>
              <w:bottom w:w="28" w:type="dxa"/>
            </w:tcMar>
            <w:vAlign w:val="center"/>
          </w:tcPr>
          <w:p>
            <w:pPr>
              <w:pStyle w:val="Normal"/>
              <w:bidi w:val="0"/>
              <w:jc w:val="left"/>
              <w:rPr/>
            </w:pPr>
            <w:r>
              <w:rPr/>
            </w:r>
          </w:p>
        </w:tc>
        <w:tc>
          <w:tcPr>
            <w:tcW w:w="75" w:type="dxa"/>
            <w:vMerge w:val="continue"/>
            <w:tcBorders>
              <w:bottom w:val="single" w:sz="6" w:space="0" w:color="004876"/>
            </w:tcBorders>
            <w:shd w:fill="004876" w:val="clear"/>
            <w:tcMar>
              <w:bottom w:w="28" w:type="dxa"/>
            </w:tcMar>
            <w:vAlign w:val="center"/>
          </w:tcPr>
          <w:p>
            <w:pPr>
              <w:pStyle w:val="Normal"/>
              <w:bidi w:val="0"/>
              <w:jc w:val="left"/>
              <w:rPr/>
            </w:pPr>
            <w:r>
              <w:rPr/>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F1EBD0" w:val="clear"/>
            <w:vAlign w:val="center"/>
          </w:tcPr>
          <w:p>
            <w:pPr>
              <w:pStyle w:val="TableContents"/>
              <w:bidi w:val="0"/>
              <w:spacing w:before="0" w:after="0"/>
              <w:jc w:val="left"/>
              <w:rPr>
                <w:rFonts w:ascii="arial" w:hAnsi="arial"/>
                <w:b/>
                <w:color w:val="004876"/>
                <w:sz w:val="18"/>
              </w:rPr>
            </w:pPr>
            <w:r>
              <w:rPr>
                <w:rFonts w:ascii="arial" w:hAnsi="arial"/>
                <w:b/>
                <w:color w:val="004876"/>
                <w:sz w:val="18"/>
              </w:rPr>
              <w:t>William C. Carstanjen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9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7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70" w:type="dxa"/>
            <w:tcBorders>
              <w:bottom w:val="single" w:sz="6" w:space="0" w:color="B99C16"/>
            </w:tcBorders>
            <w:tcMar>
              <w:bottom w:w="80" w:type="dxa"/>
            </w:tcMar>
            <w:vAlign w:val="center"/>
          </w:tcPr>
          <w:p>
            <w:pPr>
              <w:pStyle w:val="TableContents"/>
              <w:bidi w:val="0"/>
              <w:spacing w:before="0" w:after="283"/>
              <w:jc w:val="center"/>
              <w:rPr/>
            </w:pPr>
            <w:r>
              <w:rPr/>
              <w:t>1,687,500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80" w:type="dxa"/>
            <w:tcBorders>
              <w:bottom w:val="single" w:sz="6" w:space="0" w:color="B99C16"/>
            </w:tcBorders>
            <w:tcMar>
              <w:bottom w:w="80" w:type="dxa"/>
            </w:tcMar>
            <w:vAlign w:val="center"/>
          </w:tcPr>
          <w:p>
            <w:pPr>
              <w:pStyle w:val="TableContents"/>
              <w:bidi w:val="0"/>
              <w:spacing w:before="0" w:after="283"/>
              <w:jc w:val="right"/>
              <w:rPr/>
            </w:pPr>
            <w:r>
              <w:rPr/>
              <w:t>4,500,000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80" w:type="dxa"/>
            <w:tcBorders>
              <w:bottom w:val="single" w:sz="6" w:space="0" w:color="B99C16"/>
            </w:tcBorders>
            <w:tcMar>
              <w:bottom w:w="80" w:type="dxa"/>
            </w:tcMar>
            <w:vAlign w:val="center"/>
          </w:tcPr>
          <w:p>
            <w:pPr>
              <w:pStyle w:val="TableContents"/>
              <w:bidi w:val="0"/>
              <w:spacing w:before="0" w:after="283"/>
              <w:jc w:val="right"/>
              <w:rPr/>
            </w:pPr>
            <w:r>
              <w:rPr/>
              <w:t>9,000,000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28" w:type="dxa"/>
            </w:tcMar>
            <w:vAlign w:val="center"/>
          </w:tcPr>
          <w:p>
            <w:pPr>
              <w:pStyle w:val="TableContents"/>
              <w:bidi w:val="0"/>
              <w:spacing w:before="0" w:after="283"/>
              <w:jc w:val="left"/>
              <w:rPr/>
            </w:pPr>
            <w:r>
              <w:rPr/>
              <w:t> </w:t>
            </w:r>
          </w:p>
        </w:tc>
        <w:tc>
          <w:tcPr>
            <w:tcW w:w="984"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0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1" w:type="dxa"/>
            <w:tcBorders>
              <w:bottom w:val="single" w:sz="6" w:space="0" w:color="B99C16"/>
            </w:tcBorders>
            <w:tcMar>
              <w:bottom w:w="28" w:type="dxa"/>
            </w:tcMar>
            <w:vAlign w:val="center"/>
          </w:tcPr>
          <w:p>
            <w:pPr>
              <w:pStyle w:val="TableContents"/>
              <w:bidi w:val="0"/>
              <w:spacing w:before="0" w:after="283"/>
              <w:jc w:val="left"/>
              <w:rPr/>
            </w:pPr>
            <w:r>
              <w:rPr/>
              <w:t> </w:t>
            </w:r>
          </w:p>
        </w:tc>
        <w:tc>
          <w:tcPr>
            <w:tcW w:w="1039"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left"/>
              <w:rPr/>
            </w:pPr>
            <w:r>
              <w:rPr/>
              <w:t> </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95" w:type="dxa"/>
            <w:tcBorders>
              <w:bottom w:val="single" w:sz="6" w:space="0" w:color="B99C16"/>
            </w:tcBorders>
            <w:tcMar>
              <w:bottom w:w="80" w:type="dxa"/>
            </w:tcMar>
            <w:vAlign w:val="center"/>
          </w:tcPr>
          <w:p>
            <w:pPr>
              <w:pStyle w:val="TableContents"/>
              <w:bidi w:val="0"/>
              <w:spacing w:before="0" w:after="283"/>
              <w:jc w:val="right"/>
              <w:rPr/>
            </w:pPr>
            <w:r>
              <w:rPr/>
              <w:t>02/06/2025</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575" w:type="dxa"/>
            <w:tcBorders>
              <w:bottom w:val="single" w:sz="6" w:space="0" w:color="B99C16"/>
            </w:tcBorders>
            <w:tcMar>
              <w:bottom w:w="80" w:type="dxa"/>
            </w:tcMar>
            <w:vAlign w:val="center"/>
          </w:tcPr>
          <w:p>
            <w:pPr>
              <w:pStyle w:val="TableContents"/>
              <w:bidi w:val="0"/>
              <w:spacing w:before="0" w:after="283"/>
              <w:jc w:val="right"/>
              <w:rPr/>
            </w:pPr>
            <w:r>
              <w:rPr/>
              <w:t>02/06/2025</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7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28" w:type="dxa"/>
            </w:tcMar>
            <w:vAlign w:val="center"/>
          </w:tcPr>
          <w:p>
            <w:pPr>
              <w:pStyle w:val="TableContents"/>
              <w:bidi w:val="0"/>
              <w:spacing w:before="0" w:after="283"/>
              <w:jc w:val="left"/>
              <w:rPr/>
            </w:pPr>
            <w:r>
              <w:rPr/>
              <w:t> </w:t>
            </w:r>
          </w:p>
        </w:tc>
        <w:tc>
          <w:tcPr>
            <w:tcW w:w="984"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0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1" w:type="dxa"/>
            <w:tcBorders>
              <w:bottom w:val="single" w:sz="6" w:space="0" w:color="B99C16"/>
            </w:tcBorders>
            <w:tcMar>
              <w:bottom w:w="80" w:type="dxa"/>
            </w:tcMar>
            <w:vAlign w:val="center"/>
          </w:tcPr>
          <w:p>
            <w:pPr>
              <w:pStyle w:val="TableContents"/>
              <w:bidi w:val="0"/>
              <w:spacing w:before="0" w:after="283"/>
              <w:jc w:val="left"/>
              <w:rPr/>
            </w:pPr>
            <w:r>
              <w:rPr/>
              <w:t> </w:t>
            </w:r>
          </w:p>
        </w:tc>
        <w:tc>
          <w:tcPr>
            <w:tcW w:w="1039" w:type="dxa"/>
            <w:tcBorders>
              <w:bottom w:val="single" w:sz="6" w:space="0" w:color="B99C16"/>
            </w:tcBorders>
            <w:tcMar>
              <w:bottom w:w="80" w:type="dxa"/>
            </w:tcMar>
            <w:vAlign w:val="center"/>
          </w:tcPr>
          <w:p>
            <w:pPr>
              <w:pStyle w:val="TableContents"/>
              <w:bidi w:val="0"/>
              <w:spacing w:before="0" w:after="283"/>
              <w:jc w:val="right"/>
              <w:rPr/>
            </w:pPr>
            <w:r>
              <w:rPr/>
              <w:t>48,675</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80" w:type="dxa"/>
            <w:tcBorders>
              <w:bottom w:val="single" w:sz="6" w:space="0" w:color="B99C16"/>
            </w:tcBorders>
            <w:tcMar>
              <w:bottom w:w="80" w:type="dxa"/>
            </w:tcMar>
            <w:vAlign w:val="center"/>
          </w:tcPr>
          <w:p>
            <w:pPr>
              <w:pStyle w:val="TableContents"/>
              <w:bidi w:val="0"/>
              <w:spacing w:before="0" w:after="283"/>
              <w:jc w:val="right"/>
              <w:rPr/>
            </w:pPr>
            <w:r>
              <w:rPr/>
              <w:t>6,000,167</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B99C16"/>
            </w:tcBorders>
            <w:shd w:fill="F1EBD0" w:val="clear"/>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995" w:type="dxa"/>
            <w:tcBorders>
              <w:bottom w:val="single" w:sz="8" w:space="0" w:color="B99C16"/>
            </w:tcBorders>
            <w:tcMar>
              <w:bottom w:w="80" w:type="dxa"/>
            </w:tcMar>
            <w:vAlign w:val="center"/>
          </w:tcPr>
          <w:p>
            <w:pPr>
              <w:pStyle w:val="TableContents"/>
              <w:bidi w:val="0"/>
              <w:spacing w:before="0" w:after="283"/>
              <w:jc w:val="right"/>
              <w:rPr/>
            </w:pPr>
            <w:r>
              <w:rPr/>
              <w:t>02/06/2025</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575" w:type="dxa"/>
            <w:tcBorders>
              <w:bottom w:val="single" w:sz="8" w:space="0" w:color="B99C16"/>
            </w:tcBorders>
            <w:tcMar>
              <w:bottom w:w="80" w:type="dxa"/>
            </w:tcMar>
            <w:vAlign w:val="center"/>
          </w:tcPr>
          <w:p>
            <w:pPr>
              <w:pStyle w:val="TableContents"/>
              <w:bidi w:val="0"/>
              <w:spacing w:before="0" w:after="283"/>
              <w:jc w:val="right"/>
              <w:rPr/>
            </w:pPr>
            <w:r>
              <w:rPr/>
              <w:t>03/10/2025</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07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6" w:type="dxa"/>
            <w:tcBorders>
              <w:bottom w:val="single" w:sz="8" w:space="0" w:color="B99C16"/>
            </w:tcBorders>
            <w:tcMar>
              <w:bottom w:w="80" w:type="dxa"/>
            </w:tcMar>
            <w:vAlign w:val="center"/>
          </w:tcPr>
          <w:p>
            <w:pPr>
              <w:pStyle w:val="TableContents"/>
              <w:bidi w:val="0"/>
              <w:spacing w:before="0" w:after="283"/>
              <w:jc w:val="left"/>
              <w:rPr/>
            </w:pPr>
            <w:r>
              <w:rPr/>
              <w:t> </w:t>
            </w:r>
          </w:p>
        </w:tc>
        <w:tc>
          <w:tcPr>
            <w:tcW w:w="984" w:type="dxa"/>
            <w:tcBorders>
              <w:bottom w:val="single" w:sz="8" w:space="0" w:color="B99C16"/>
            </w:tcBorders>
            <w:tcMar>
              <w:bottom w:w="80" w:type="dxa"/>
            </w:tcMar>
            <w:vAlign w:val="center"/>
          </w:tcPr>
          <w:p>
            <w:pPr>
              <w:pStyle w:val="TableContents"/>
              <w:bidi w:val="0"/>
              <w:spacing w:before="0" w:after="283"/>
              <w:jc w:val="right"/>
              <w:rPr/>
            </w:pPr>
            <w:r>
              <w:rPr/>
              <w:t>18,253</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80" w:type="dxa"/>
            <w:tcBorders>
              <w:bottom w:val="single" w:sz="8" w:space="0" w:color="B99C16"/>
            </w:tcBorders>
            <w:tcMar>
              <w:bottom w:w="80" w:type="dxa"/>
            </w:tcMar>
            <w:vAlign w:val="center"/>
          </w:tcPr>
          <w:p>
            <w:pPr>
              <w:pStyle w:val="TableContents"/>
              <w:bidi w:val="0"/>
              <w:spacing w:before="0" w:after="283"/>
              <w:jc w:val="right"/>
              <w:rPr/>
            </w:pPr>
            <w:r>
              <w:rPr/>
              <w:t>48,674</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800" w:type="dxa"/>
            <w:tcBorders>
              <w:bottom w:val="single" w:sz="8" w:space="0" w:color="B99C16"/>
            </w:tcBorders>
            <w:tcMar>
              <w:bottom w:w="80" w:type="dxa"/>
            </w:tcMar>
            <w:vAlign w:val="center"/>
          </w:tcPr>
          <w:p>
            <w:pPr>
              <w:pStyle w:val="TableContents"/>
              <w:bidi w:val="0"/>
              <w:spacing w:before="0" w:after="283"/>
              <w:jc w:val="right"/>
              <w:rPr/>
            </w:pPr>
            <w:r>
              <w:rPr/>
              <w:t>121,685</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1" w:type="dxa"/>
            <w:tcBorders>
              <w:bottom w:val="single" w:sz="8" w:space="0" w:color="B99C16"/>
            </w:tcBorders>
            <w:tcMar>
              <w:bottom w:w="28" w:type="dxa"/>
            </w:tcMar>
            <w:vAlign w:val="center"/>
          </w:tcPr>
          <w:p>
            <w:pPr>
              <w:pStyle w:val="TableContents"/>
              <w:bidi w:val="0"/>
              <w:spacing w:before="0" w:after="283"/>
              <w:jc w:val="left"/>
              <w:rPr/>
            </w:pPr>
            <w:r>
              <w:rPr/>
              <w:t> </w:t>
            </w:r>
          </w:p>
        </w:tc>
        <w:tc>
          <w:tcPr>
            <w:tcW w:w="1039"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980" w:type="dxa"/>
            <w:tcBorders>
              <w:bottom w:val="single" w:sz="8" w:space="0" w:color="B99C16"/>
            </w:tcBorders>
            <w:tcMar>
              <w:bottom w:w="80" w:type="dxa"/>
            </w:tcMar>
            <w:vAlign w:val="center"/>
          </w:tcPr>
          <w:p>
            <w:pPr>
              <w:pStyle w:val="TableContents"/>
              <w:bidi w:val="0"/>
              <w:spacing w:before="0" w:after="283"/>
              <w:jc w:val="right"/>
              <w:rPr/>
            </w:pPr>
            <w:r>
              <w:rPr/>
              <w:t>5,443,213</w:t>
            </w:r>
          </w:p>
        </w:tc>
        <w:tc>
          <w:tcPr>
            <w:tcW w:w="75" w:type="dxa"/>
            <w:tcBorders>
              <w:bottom w:val="single" w:sz="8" w:space="0" w:color="B99C16"/>
            </w:tcBorders>
            <w:tcMar>
              <w:bottom w:w="80" w:type="dxa"/>
            </w:tcMar>
            <w:vAlign w:val="center"/>
          </w:tcPr>
          <w:p>
            <w:pPr>
              <w:pStyle w:val="TableContents"/>
              <w:bidi w:val="0"/>
              <w:spacing w:before="0" w:after="283"/>
              <w:jc w:val="left"/>
              <w:rPr/>
            </w:pPr>
            <w:r>
              <w:rPr/>
              <w:t> </w:t>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F1EBD0" w:val="clear"/>
            <w:vAlign w:val="center"/>
          </w:tcPr>
          <w:p>
            <w:pPr>
              <w:pStyle w:val="TableContents"/>
              <w:bidi w:val="0"/>
              <w:spacing w:before="0" w:after="0"/>
              <w:jc w:val="left"/>
              <w:rPr>
                <w:rFonts w:ascii="arial" w:hAnsi="arial"/>
                <w:b/>
                <w:color w:val="004876"/>
                <w:sz w:val="18"/>
              </w:rPr>
            </w:pPr>
            <w:r>
              <w:rPr>
                <w:rFonts w:ascii="arial" w:hAnsi="arial"/>
                <w:b/>
                <w:color w:val="004876"/>
                <w:sz w:val="18"/>
              </w:rPr>
              <w:t>William E. Mudd</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9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7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70" w:type="dxa"/>
            <w:tcBorders>
              <w:bottom w:val="single" w:sz="6" w:space="0" w:color="B99C16"/>
            </w:tcBorders>
            <w:tcMar>
              <w:bottom w:w="80" w:type="dxa"/>
            </w:tcMar>
            <w:vAlign w:val="center"/>
          </w:tcPr>
          <w:p>
            <w:pPr>
              <w:pStyle w:val="TableContents"/>
              <w:bidi w:val="0"/>
              <w:spacing w:before="0" w:after="283"/>
              <w:jc w:val="center"/>
              <w:rPr/>
            </w:pPr>
            <w:r>
              <w:rPr/>
              <w:t>596,756</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80" w:type="dxa"/>
            <w:tcBorders>
              <w:bottom w:val="single" w:sz="6" w:space="0" w:color="B99C16"/>
            </w:tcBorders>
            <w:tcMar>
              <w:bottom w:w="80" w:type="dxa"/>
            </w:tcMar>
            <w:vAlign w:val="center"/>
          </w:tcPr>
          <w:p>
            <w:pPr>
              <w:pStyle w:val="TableContents"/>
              <w:bidi w:val="0"/>
              <w:spacing w:before="0" w:after="283"/>
              <w:jc w:val="right"/>
              <w:rPr/>
            </w:pPr>
            <w:r>
              <w:rPr/>
              <w:t>1,591,350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80" w:type="dxa"/>
            <w:tcBorders>
              <w:bottom w:val="single" w:sz="6" w:space="0" w:color="B99C16"/>
            </w:tcBorders>
            <w:tcMar>
              <w:bottom w:w="80" w:type="dxa"/>
            </w:tcMar>
            <w:vAlign w:val="center"/>
          </w:tcPr>
          <w:p>
            <w:pPr>
              <w:pStyle w:val="TableContents"/>
              <w:bidi w:val="0"/>
              <w:spacing w:before="0" w:after="283"/>
              <w:jc w:val="right"/>
              <w:rPr/>
            </w:pPr>
            <w:r>
              <w:rPr/>
              <w:t>3,182,700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28" w:type="dxa"/>
            </w:tcMar>
            <w:vAlign w:val="center"/>
          </w:tcPr>
          <w:p>
            <w:pPr>
              <w:pStyle w:val="TableContents"/>
              <w:bidi w:val="0"/>
              <w:spacing w:before="0" w:after="283"/>
              <w:jc w:val="left"/>
              <w:rPr/>
            </w:pPr>
            <w:r>
              <w:rPr/>
              <w:t> </w:t>
            </w:r>
          </w:p>
        </w:tc>
        <w:tc>
          <w:tcPr>
            <w:tcW w:w="984"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0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1" w:type="dxa"/>
            <w:tcBorders>
              <w:bottom w:val="single" w:sz="6" w:space="0" w:color="B99C16"/>
            </w:tcBorders>
            <w:tcMar>
              <w:bottom w:w="28" w:type="dxa"/>
            </w:tcMar>
            <w:vAlign w:val="center"/>
          </w:tcPr>
          <w:p>
            <w:pPr>
              <w:pStyle w:val="TableContents"/>
              <w:bidi w:val="0"/>
              <w:spacing w:before="0" w:after="283"/>
              <w:jc w:val="left"/>
              <w:rPr/>
            </w:pPr>
            <w:r>
              <w:rPr/>
              <w:t> </w:t>
            </w:r>
          </w:p>
        </w:tc>
        <w:tc>
          <w:tcPr>
            <w:tcW w:w="1039"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left"/>
              <w:rPr/>
            </w:pPr>
            <w:r>
              <w:rPr/>
              <w:t> </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95" w:type="dxa"/>
            <w:tcBorders>
              <w:bottom w:val="single" w:sz="6" w:space="0" w:color="B99C16"/>
            </w:tcBorders>
            <w:tcMar>
              <w:bottom w:w="80" w:type="dxa"/>
            </w:tcMar>
            <w:vAlign w:val="center"/>
          </w:tcPr>
          <w:p>
            <w:pPr>
              <w:pStyle w:val="TableContents"/>
              <w:bidi w:val="0"/>
              <w:spacing w:before="0" w:after="283"/>
              <w:jc w:val="right"/>
              <w:rPr/>
            </w:pPr>
            <w:r>
              <w:rPr/>
              <w:t>02/06/2025</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575" w:type="dxa"/>
            <w:tcBorders>
              <w:bottom w:val="single" w:sz="6" w:space="0" w:color="B99C16"/>
            </w:tcBorders>
            <w:tcMar>
              <w:bottom w:w="80" w:type="dxa"/>
            </w:tcMar>
            <w:vAlign w:val="center"/>
          </w:tcPr>
          <w:p>
            <w:pPr>
              <w:pStyle w:val="TableContents"/>
              <w:bidi w:val="0"/>
              <w:spacing w:before="0" w:after="283"/>
              <w:jc w:val="right"/>
              <w:rPr/>
            </w:pPr>
            <w:r>
              <w:rPr/>
              <w:t>02/06/2025</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7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28" w:type="dxa"/>
            </w:tcMar>
            <w:vAlign w:val="center"/>
          </w:tcPr>
          <w:p>
            <w:pPr>
              <w:pStyle w:val="TableContents"/>
              <w:bidi w:val="0"/>
              <w:spacing w:before="0" w:after="283"/>
              <w:jc w:val="left"/>
              <w:rPr/>
            </w:pPr>
            <w:r>
              <w:rPr/>
              <w:t> </w:t>
            </w:r>
          </w:p>
        </w:tc>
        <w:tc>
          <w:tcPr>
            <w:tcW w:w="984"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0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1" w:type="dxa"/>
            <w:tcBorders>
              <w:bottom w:val="single" w:sz="6" w:space="0" w:color="B99C16"/>
            </w:tcBorders>
            <w:tcMar>
              <w:bottom w:w="80" w:type="dxa"/>
            </w:tcMar>
            <w:vAlign w:val="center"/>
          </w:tcPr>
          <w:p>
            <w:pPr>
              <w:pStyle w:val="TableContents"/>
              <w:bidi w:val="0"/>
              <w:spacing w:before="0" w:after="283"/>
              <w:jc w:val="left"/>
              <w:rPr/>
            </w:pPr>
            <w:r>
              <w:rPr/>
              <w:t> </w:t>
            </w:r>
          </w:p>
        </w:tc>
        <w:tc>
          <w:tcPr>
            <w:tcW w:w="1039" w:type="dxa"/>
            <w:tcBorders>
              <w:bottom w:val="single" w:sz="6" w:space="0" w:color="B99C16"/>
            </w:tcBorders>
            <w:tcMar>
              <w:bottom w:w="80" w:type="dxa"/>
            </w:tcMar>
            <w:vAlign w:val="center"/>
          </w:tcPr>
          <w:p>
            <w:pPr>
              <w:pStyle w:val="TableContents"/>
              <w:bidi w:val="0"/>
              <w:spacing w:before="0" w:after="283"/>
              <w:jc w:val="right"/>
              <w:rPr/>
            </w:pPr>
            <w:r>
              <w:rPr/>
              <w:t>16,227</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80" w:type="dxa"/>
            <w:tcBorders>
              <w:bottom w:val="single" w:sz="6" w:space="0" w:color="B99C16"/>
            </w:tcBorders>
            <w:tcMar>
              <w:bottom w:w="80" w:type="dxa"/>
            </w:tcMar>
            <w:vAlign w:val="center"/>
          </w:tcPr>
          <w:p>
            <w:pPr>
              <w:pStyle w:val="TableContents"/>
              <w:bidi w:val="0"/>
              <w:spacing w:before="0" w:after="283"/>
              <w:jc w:val="right"/>
              <w:rPr/>
            </w:pPr>
            <w:r>
              <w:rPr/>
              <w:t>2,000,302</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B99C16"/>
            </w:tcBorders>
            <w:shd w:fill="F1EBD0" w:val="clear"/>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995" w:type="dxa"/>
            <w:tcBorders>
              <w:bottom w:val="single" w:sz="8" w:space="0" w:color="B99C16"/>
            </w:tcBorders>
            <w:tcMar>
              <w:bottom w:w="80" w:type="dxa"/>
            </w:tcMar>
            <w:vAlign w:val="center"/>
          </w:tcPr>
          <w:p>
            <w:pPr>
              <w:pStyle w:val="TableContents"/>
              <w:bidi w:val="0"/>
              <w:spacing w:before="0" w:after="283"/>
              <w:jc w:val="right"/>
              <w:rPr/>
            </w:pPr>
            <w:r>
              <w:rPr/>
              <w:t>02/06/2025</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575" w:type="dxa"/>
            <w:tcBorders>
              <w:bottom w:val="single" w:sz="8" w:space="0" w:color="B99C16"/>
            </w:tcBorders>
            <w:tcMar>
              <w:bottom w:w="80" w:type="dxa"/>
            </w:tcMar>
            <w:vAlign w:val="center"/>
          </w:tcPr>
          <w:p>
            <w:pPr>
              <w:pStyle w:val="TableContents"/>
              <w:bidi w:val="0"/>
              <w:spacing w:before="0" w:after="283"/>
              <w:jc w:val="right"/>
              <w:rPr/>
            </w:pPr>
            <w:r>
              <w:rPr/>
              <w:t>03/10/2025</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07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6" w:type="dxa"/>
            <w:tcBorders>
              <w:bottom w:val="single" w:sz="8" w:space="0" w:color="B99C16"/>
            </w:tcBorders>
            <w:tcMar>
              <w:bottom w:w="80" w:type="dxa"/>
            </w:tcMar>
            <w:vAlign w:val="center"/>
          </w:tcPr>
          <w:p>
            <w:pPr>
              <w:pStyle w:val="TableContents"/>
              <w:bidi w:val="0"/>
              <w:spacing w:before="0" w:after="283"/>
              <w:jc w:val="left"/>
              <w:rPr/>
            </w:pPr>
            <w:r>
              <w:rPr/>
              <w:t> </w:t>
            </w:r>
          </w:p>
        </w:tc>
        <w:tc>
          <w:tcPr>
            <w:tcW w:w="984" w:type="dxa"/>
            <w:tcBorders>
              <w:bottom w:val="single" w:sz="8" w:space="0" w:color="B99C16"/>
            </w:tcBorders>
            <w:tcMar>
              <w:bottom w:w="80" w:type="dxa"/>
            </w:tcMar>
            <w:vAlign w:val="center"/>
          </w:tcPr>
          <w:p>
            <w:pPr>
              <w:pStyle w:val="TableContents"/>
              <w:bidi w:val="0"/>
              <w:spacing w:before="0" w:after="283"/>
              <w:jc w:val="right"/>
              <w:rPr/>
            </w:pPr>
            <w:r>
              <w:rPr/>
              <w:t>6,084</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80" w:type="dxa"/>
            <w:tcBorders>
              <w:bottom w:val="single" w:sz="8" w:space="0" w:color="B99C16"/>
            </w:tcBorders>
            <w:tcMar>
              <w:bottom w:w="80" w:type="dxa"/>
            </w:tcMar>
            <w:vAlign w:val="center"/>
          </w:tcPr>
          <w:p>
            <w:pPr>
              <w:pStyle w:val="TableContents"/>
              <w:bidi w:val="0"/>
              <w:spacing w:before="0" w:after="283"/>
              <w:jc w:val="right"/>
              <w:rPr/>
            </w:pPr>
            <w:r>
              <w:rPr/>
              <w:t>16,225</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800" w:type="dxa"/>
            <w:tcBorders>
              <w:bottom w:val="single" w:sz="8" w:space="0" w:color="B99C16"/>
            </w:tcBorders>
            <w:tcMar>
              <w:bottom w:w="80" w:type="dxa"/>
            </w:tcMar>
            <w:vAlign w:val="center"/>
          </w:tcPr>
          <w:p>
            <w:pPr>
              <w:pStyle w:val="TableContents"/>
              <w:bidi w:val="0"/>
              <w:spacing w:before="0" w:after="283"/>
              <w:jc w:val="right"/>
              <w:rPr/>
            </w:pPr>
            <w:r>
              <w:rPr/>
              <w:t>40,563</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1" w:type="dxa"/>
            <w:tcBorders>
              <w:bottom w:val="single" w:sz="8" w:space="0" w:color="B99C16"/>
            </w:tcBorders>
            <w:tcMar>
              <w:bottom w:w="28" w:type="dxa"/>
            </w:tcMar>
            <w:vAlign w:val="center"/>
          </w:tcPr>
          <w:p>
            <w:pPr>
              <w:pStyle w:val="TableContents"/>
              <w:bidi w:val="0"/>
              <w:spacing w:before="0" w:after="283"/>
              <w:jc w:val="left"/>
              <w:rPr/>
            </w:pPr>
            <w:r>
              <w:rPr/>
              <w:t> </w:t>
            </w:r>
          </w:p>
        </w:tc>
        <w:tc>
          <w:tcPr>
            <w:tcW w:w="1039"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980" w:type="dxa"/>
            <w:tcBorders>
              <w:bottom w:val="single" w:sz="8" w:space="0" w:color="B99C16"/>
            </w:tcBorders>
            <w:tcMar>
              <w:bottom w:w="80" w:type="dxa"/>
            </w:tcMar>
            <w:vAlign w:val="center"/>
          </w:tcPr>
          <w:p>
            <w:pPr>
              <w:pStyle w:val="TableContents"/>
              <w:bidi w:val="0"/>
              <w:spacing w:before="0" w:after="283"/>
              <w:jc w:val="right"/>
              <w:rPr/>
            </w:pPr>
            <w:r>
              <w:rPr/>
              <w:t>1,814,442</w:t>
            </w:r>
          </w:p>
        </w:tc>
        <w:tc>
          <w:tcPr>
            <w:tcW w:w="75" w:type="dxa"/>
            <w:tcBorders>
              <w:bottom w:val="single" w:sz="8" w:space="0" w:color="B99C16"/>
            </w:tcBorders>
            <w:tcMar>
              <w:bottom w:w="80" w:type="dxa"/>
            </w:tcMar>
            <w:vAlign w:val="center"/>
          </w:tcPr>
          <w:p>
            <w:pPr>
              <w:pStyle w:val="TableContents"/>
              <w:bidi w:val="0"/>
              <w:spacing w:before="0" w:after="283"/>
              <w:jc w:val="left"/>
              <w:rPr/>
            </w:pPr>
            <w:r>
              <w:rPr/>
              <w:t> </w:t>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F1EBD0" w:val="clear"/>
            <w:vAlign w:val="center"/>
          </w:tcPr>
          <w:p>
            <w:pPr>
              <w:pStyle w:val="TableContents"/>
              <w:bidi w:val="0"/>
              <w:spacing w:before="0" w:after="0"/>
              <w:jc w:val="left"/>
              <w:rPr>
                <w:rFonts w:ascii="arial" w:hAnsi="arial"/>
                <w:b/>
                <w:color w:val="004876"/>
                <w:sz w:val="18"/>
              </w:rPr>
            </w:pPr>
            <w:r>
              <w:rPr>
                <w:rFonts w:ascii="arial" w:hAnsi="arial"/>
                <w:b/>
                <w:color w:val="004876"/>
                <w:sz w:val="18"/>
              </w:rPr>
              <w:t>Marcia A. Dall</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9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7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70" w:type="dxa"/>
            <w:tcBorders>
              <w:bottom w:val="single" w:sz="6" w:space="0" w:color="B99C16"/>
            </w:tcBorders>
            <w:tcMar>
              <w:bottom w:w="80" w:type="dxa"/>
            </w:tcMar>
            <w:vAlign w:val="center"/>
          </w:tcPr>
          <w:p>
            <w:pPr>
              <w:pStyle w:val="TableContents"/>
              <w:bidi w:val="0"/>
              <w:spacing w:before="0" w:after="283"/>
              <w:jc w:val="center"/>
              <w:rPr/>
            </w:pPr>
            <w:r>
              <w:rPr/>
              <w:t>391,875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80" w:type="dxa"/>
            <w:tcBorders>
              <w:bottom w:val="single" w:sz="6" w:space="0" w:color="B99C16"/>
            </w:tcBorders>
            <w:tcMar>
              <w:bottom w:w="80" w:type="dxa"/>
            </w:tcMar>
            <w:vAlign w:val="center"/>
          </w:tcPr>
          <w:p>
            <w:pPr>
              <w:pStyle w:val="TableContents"/>
              <w:bidi w:val="0"/>
              <w:spacing w:before="0" w:after="283"/>
              <w:jc w:val="right"/>
              <w:rPr/>
            </w:pPr>
            <w:r>
              <w:rPr/>
              <w:t>1,045,000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80" w:type="dxa"/>
            <w:tcBorders>
              <w:bottom w:val="single" w:sz="6" w:space="0" w:color="B99C16"/>
            </w:tcBorders>
            <w:tcMar>
              <w:bottom w:w="80" w:type="dxa"/>
            </w:tcMar>
            <w:vAlign w:val="center"/>
          </w:tcPr>
          <w:p>
            <w:pPr>
              <w:pStyle w:val="TableContents"/>
              <w:bidi w:val="0"/>
              <w:spacing w:before="0" w:after="283"/>
              <w:jc w:val="right"/>
              <w:rPr/>
            </w:pPr>
            <w:r>
              <w:rPr/>
              <w:t>2,090,000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28" w:type="dxa"/>
            </w:tcMar>
            <w:vAlign w:val="center"/>
          </w:tcPr>
          <w:p>
            <w:pPr>
              <w:pStyle w:val="TableContents"/>
              <w:bidi w:val="0"/>
              <w:spacing w:before="0" w:after="283"/>
              <w:jc w:val="left"/>
              <w:rPr/>
            </w:pPr>
            <w:r>
              <w:rPr/>
              <w:t> </w:t>
            </w:r>
          </w:p>
        </w:tc>
        <w:tc>
          <w:tcPr>
            <w:tcW w:w="984"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0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1" w:type="dxa"/>
            <w:tcBorders>
              <w:bottom w:val="single" w:sz="6" w:space="0" w:color="B99C16"/>
            </w:tcBorders>
            <w:tcMar>
              <w:bottom w:w="28" w:type="dxa"/>
            </w:tcMar>
            <w:vAlign w:val="center"/>
          </w:tcPr>
          <w:p>
            <w:pPr>
              <w:pStyle w:val="TableContents"/>
              <w:bidi w:val="0"/>
              <w:spacing w:before="0" w:after="283"/>
              <w:jc w:val="left"/>
              <w:rPr/>
            </w:pPr>
            <w:r>
              <w:rPr/>
              <w:t> </w:t>
            </w:r>
          </w:p>
        </w:tc>
        <w:tc>
          <w:tcPr>
            <w:tcW w:w="1039"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left"/>
              <w:rPr/>
            </w:pPr>
            <w:r>
              <w:rPr/>
              <w:t> </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95" w:type="dxa"/>
            <w:tcBorders>
              <w:bottom w:val="single" w:sz="6" w:space="0" w:color="B99C16"/>
            </w:tcBorders>
            <w:tcMar>
              <w:bottom w:w="80" w:type="dxa"/>
            </w:tcMar>
            <w:vAlign w:val="center"/>
          </w:tcPr>
          <w:p>
            <w:pPr>
              <w:pStyle w:val="TableContents"/>
              <w:bidi w:val="0"/>
              <w:spacing w:before="0" w:after="283"/>
              <w:jc w:val="right"/>
              <w:rPr/>
            </w:pPr>
            <w:r>
              <w:rPr/>
              <w:t>02/06/2025</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575" w:type="dxa"/>
            <w:tcBorders>
              <w:bottom w:val="single" w:sz="6" w:space="0" w:color="B99C16"/>
            </w:tcBorders>
            <w:tcMar>
              <w:bottom w:w="80" w:type="dxa"/>
            </w:tcMar>
            <w:vAlign w:val="center"/>
          </w:tcPr>
          <w:p>
            <w:pPr>
              <w:pStyle w:val="TableContents"/>
              <w:bidi w:val="0"/>
              <w:spacing w:before="0" w:after="283"/>
              <w:jc w:val="right"/>
              <w:rPr/>
            </w:pPr>
            <w:r>
              <w:rPr/>
              <w:t>02/06/2025</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7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28" w:type="dxa"/>
            </w:tcMar>
            <w:vAlign w:val="center"/>
          </w:tcPr>
          <w:p>
            <w:pPr>
              <w:pStyle w:val="TableContents"/>
              <w:bidi w:val="0"/>
              <w:spacing w:before="0" w:after="283"/>
              <w:jc w:val="left"/>
              <w:rPr/>
            </w:pPr>
            <w:r>
              <w:rPr/>
              <w:t> </w:t>
            </w:r>
          </w:p>
        </w:tc>
        <w:tc>
          <w:tcPr>
            <w:tcW w:w="984"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0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1" w:type="dxa"/>
            <w:tcBorders>
              <w:bottom w:val="single" w:sz="6" w:space="0" w:color="B99C16"/>
            </w:tcBorders>
            <w:tcMar>
              <w:bottom w:w="80" w:type="dxa"/>
            </w:tcMar>
            <w:vAlign w:val="center"/>
          </w:tcPr>
          <w:p>
            <w:pPr>
              <w:pStyle w:val="TableContents"/>
              <w:bidi w:val="0"/>
              <w:spacing w:before="0" w:after="283"/>
              <w:jc w:val="left"/>
              <w:rPr/>
            </w:pPr>
            <w:r>
              <w:rPr/>
              <w:t> </w:t>
            </w:r>
          </w:p>
        </w:tc>
        <w:tc>
          <w:tcPr>
            <w:tcW w:w="1039" w:type="dxa"/>
            <w:tcBorders>
              <w:bottom w:val="single" w:sz="6" w:space="0" w:color="B99C16"/>
            </w:tcBorders>
            <w:tcMar>
              <w:bottom w:w="80" w:type="dxa"/>
            </w:tcMar>
            <w:vAlign w:val="center"/>
          </w:tcPr>
          <w:p>
            <w:pPr>
              <w:pStyle w:val="TableContents"/>
              <w:bidi w:val="0"/>
              <w:spacing w:before="0" w:after="283"/>
              <w:jc w:val="right"/>
              <w:rPr/>
            </w:pPr>
            <w:r>
              <w:rPr/>
              <w:t>9,330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80" w:type="dxa"/>
            <w:tcBorders>
              <w:bottom w:val="single" w:sz="6" w:space="0" w:color="B99C16"/>
            </w:tcBorders>
            <w:tcMar>
              <w:bottom w:w="80" w:type="dxa"/>
            </w:tcMar>
            <w:vAlign w:val="center"/>
          </w:tcPr>
          <w:p>
            <w:pPr>
              <w:pStyle w:val="TableContents"/>
              <w:bidi w:val="0"/>
              <w:spacing w:before="0" w:after="283"/>
              <w:jc w:val="right"/>
              <w:rPr/>
            </w:pPr>
            <w:r>
              <w:rPr/>
              <w:t>1,150,109</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B99C16"/>
            </w:tcBorders>
            <w:shd w:fill="F1EBD0" w:val="clear"/>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995" w:type="dxa"/>
            <w:tcBorders>
              <w:bottom w:val="single" w:sz="8" w:space="0" w:color="B99C16"/>
            </w:tcBorders>
            <w:tcMar>
              <w:bottom w:w="80" w:type="dxa"/>
            </w:tcMar>
            <w:vAlign w:val="center"/>
          </w:tcPr>
          <w:p>
            <w:pPr>
              <w:pStyle w:val="TableContents"/>
              <w:bidi w:val="0"/>
              <w:spacing w:before="0" w:after="283"/>
              <w:jc w:val="right"/>
              <w:rPr/>
            </w:pPr>
            <w:r>
              <w:rPr/>
              <w:t>02/06/2025</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575" w:type="dxa"/>
            <w:tcBorders>
              <w:bottom w:val="single" w:sz="8" w:space="0" w:color="B99C16"/>
            </w:tcBorders>
            <w:tcMar>
              <w:bottom w:w="80" w:type="dxa"/>
            </w:tcMar>
            <w:vAlign w:val="center"/>
          </w:tcPr>
          <w:p>
            <w:pPr>
              <w:pStyle w:val="TableContents"/>
              <w:bidi w:val="0"/>
              <w:spacing w:before="0" w:after="283"/>
              <w:jc w:val="right"/>
              <w:rPr/>
            </w:pPr>
            <w:r>
              <w:rPr/>
              <w:t>03/10/2025</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07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6" w:type="dxa"/>
            <w:tcBorders>
              <w:bottom w:val="single" w:sz="8" w:space="0" w:color="B99C16"/>
            </w:tcBorders>
            <w:tcMar>
              <w:bottom w:w="80" w:type="dxa"/>
            </w:tcMar>
            <w:vAlign w:val="center"/>
          </w:tcPr>
          <w:p>
            <w:pPr>
              <w:pStyle w:val="TableContents"/>
              <w:bidi w:val="0"/>
              <w:spacing w:before="0" w:after="283"/>
              <w:jc w:val="left"/>
              <w:rPr/>
            </w:pPr>
            <w:r>
              <w:rPr/>
              <w:t> </w:t>
            </w:r>
          </w:p>
        </w:tc>
        <w:tc>
          <w:tcPr>
            <w:tcW w:w="984" w:type="dxa"/>
            <w:tcBorders>
              <w:bottom w:val="single" w:sz="8" w:space="0" w:color="B99C16"/>
            </w:tcBorders>
            <w:tcMar>
              <w:bottom w:w="80" w:type="dxa"/>
            </w:tcMar>
            <w:vAlign w:val="center"/>
          </w:tcPr>
          <w:p>
            <w:pPr>
              <w:pStyle w:val="TableContents"/>
              <w:bidi w:val="0"/>
              <w:spacing w:before="0" w:after="283"/>
              <w:jc w:val="right"/>
              <w:rPr/>
            </w:pPr>
            <w:r>
              <w:rPr/>
              <w:t>3,499</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80" w:type="dxa"/>
            <w:tcBorders>
              <w:bottom w:val="single" w:sz="8" w:space="0" w:color="B99C16"/>
            </w:tcBorders>
            <w:tcMar>
              <w:bottom w:w="80" w:type="dxa"/>
            </w:tcMar>
            <w:vAlign w:val="center"/>
          </w:tcPr>
          <w:p>
            <w:pPr>
              <w:pStyle w:val="TableContents"/>
              <w:bidi w:val="0"/>
              <w:spacing w:before="0" w:after="283"/>
              <w:jc w:val="right"/>
              <w:rPr/>
            </w:pPr>
            <w:r>
              <w:rPr/>
              <w:t>9,330</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800" w:type="dxa"/>
            <w:tcBorders>
              <w:bottom w:val="single" w:sz="8" w:space="0" w:color="B99C16"/>
            </w:tcBorders>
            <w:tcMar>
              <w:bottom w:w="80" w:type="dxa"/>
            </w:tcMar>
            <w:vAlign w:val="center"/>
          </w:tcPr>
          <w:p>
            <w:pPr>
              <w:pStyle w:val="TableContents"/>
              <w:bidi w:val="0"/>
              <w:spacing w:before="0" w:after="283"/>
              <w:jc w:val="right"/>
              <w:rPr/>
            </w:pPr>
            <w:r>
              <w:rPr/>
              <w:t>23,325</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1" w:type="dxa"/>
            <w:tcBorders>
              <w:bottom w:val="single" w:sz="8" w:space="0" w:color="B99C16"/>
            </w:tcBorders>
            <w:tcMar>
              <w:bottom w:w="28" w:type="dxa"/>
            </w:tcMar>
            <w:vAlign w:val="center"/>
          </w:tcPr>
          <w:p>
            <w:pPr>
              <w:pStyle w:val="TableContents"/>
              <w:bidi w:val="0"/>
              <w:spacing w:before="0" w:after="283"/>
              <w:jc w:val="left"/>
              <w:rPr/>
            </w:pPr>
            <w:r>
              <w:rPr/>
              <w:t> </w:t>
            </w:r>
          </w:p>
        </w:tc>
        <w:tc>
          <w:tcPr>
            <w:tcW w:w="1039"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980" w:type="dxa"/>
            <w:tcBorders>
              <w:bottom w:val="single" w:sz="8" w:space="0" w:color="B99C16"/>
            </w:tcBorders>
            <w:tcMar>
              <w:bottom w:w="80" w:type="dxa"/>
            </w:tcMar>
            <w:vAlign w:val="center"/>
          </w:tcPr>
          <w:p>
            <w:pPr>
              <w:pStyle w:val="TableContents"/>
              <w:bidi w:val="0"/>
              <w:spacing w:before="0" w:after="283"/>
              <w:jc w:val="right"/>
              <w:rPr/>
            </w:pPr>
            <w:r>
              <w:rPr/>
              <w:t>1,043,374</w:t>
            </w:r>
          </w:p>
        </w:tc>
        <w:tc>
          <w:tcPr>
            <w:tcW w:w="75" w:type="dxa"/>
            <w:tcBorders>
              <w:bottom w:val="single" w:sz="8" w:space="0" w:color="B99C16"/>
            </w:tcBorders>
            <w:tcMar>
              <w:bottom w:w="80" w:type="dxa"/>
            </w:tcMar>
            <w:vAlign w:val="center"/>
          </w:tcPr>
          <w:p>
            <w:pPr>
              <w:pStyle w:val="TableContents"/>
              <w:bidi w:val="0"/>
              <w:spacing w:before="0" w:after="283"/>
              <w:jc w:val="left"/>
              <w:rPr/>
            </w:pPr>
            <w:r>
              <w:rPr/>
              <w:t> </w:t>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F1EBD0" w:val="clear"/>
            <w:vAlign w:val="center"/>
          </w:tcPr>
          <w:p>
            <w:pPr>
              <w:pStyle w:val="TableContents"/>
              <w:bidi w:val="0"/>
              <w:spacing w:before="0" w:after="0"/>
              <w:jc w:val="left"/>
              <w:rPr>
                <w:rFonts w:ascii="arial" w:hAnsi="arial"/>
                <w:b/>
                <w:color w:val="004876"/>
                <w:sz w:val="18"/>
              </w:rPr>
            </w:pPr>
            <w:r>
              <w:rPr>
                <w:rFonts w:ascii="arial" w:hAnsi="arial"/>
                <w:b/>
                <w:color w:val="004876"/>
                <w:sz w:val="18"/>
              </w:rPr>
              <w:t>Bradley K. Blackwell</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9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57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70" w:type="dxa"/>
            <w:tcBorders>
              <w:bottom w:val="single" w:sz="6" w:space="0" w:color="B99C16"/>
            </w:tcBorders>
            <w:tcMar>
              <w:bottom w:w="80" w:type="dxa"/>
            </w:tcMar>
            <w:vAlign w:val="center"/>
          </w:tcPr>
          <w:p>
            <w:pPr>
              <w:pStyle w:val="TableContents"/>
              <w:bidi w:val="0"/>
              <w:spacing w:before="0" w:after="283"/>
              <w:jc w:val="center"/>
              <w:rPr/>
            </w:pPr>
            <w:r>
              <w:rPr/>
              <w:t>290,625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80" w:type="dxa"/>
            <w:tcBorders>
              <w:bottom w:val="single" w:sz="6" w:space="0" w:color="B99C16"/>
            </w:tcBorders>
            <w:tcMar>
              <w:bottom w:w="80" w:type="dxa"/>
            </w:tcMar>
            <w:vAlign w:val="center"/>
          </w:tcPr>
          <w:p>
            <w:pPr>
              <w:pStyle w:val="TableContents"/>
              <w:bidi w:val="0"/>
              <w:spacing w:before="0" w:after="283"/>
              <w:jc w:val="right"/>
              <w:rPr/>
            </w:pPr>
            <w:r>
              <w:rPr/>
              <w:t>775,000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80" w:type="dxa"/>
            <w:tcBorders>
              <w:bottom w:val="single" w:sz="6" w:space="0" w:color="B99C16"/>
            </w:tcBorders>
            <w:tcMar>
              <w:bottom w:w="80" w:type="dxa"/>
            </w:tcMar>
            <w:vAlign w:val="center"/>
          </w:tcPr>
          <w:p>
            <w:pPr>
              <w:pStyle w:val="TableContents"/>
              <w:bidi w:val="0"/>
              <w:spacing w:before="0" w:after="283"/>
              <w:jc w:val="right"/>
              <w:rPr/>
            </w:pPr>
            <w:r>
              <w:rPr/>
              <w:t>1,550,000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28" w:type="dxa"/>
            </w:tcMar>
            <w:vAlign w:val="center"/>
          </w:tcPr>
          <w:p>
            <w:pPr>
              <w:pStyle w:val="TableContents"/>
              <w:bidi w:val="0"/>
              <w:spacing w:before="0" w:after="283"/>
              <w:jc w:val="left"/>
              <w:rPr/>
            </w:pPr>
            <w:r>
              <w:rPr/>
              <w:t> </w:t>
            </w:r>
          </w:p>
        </w:tc>
        <w:tc>
          <w:tcPr>
            <w:tcW w:w="984"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0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1" w:type="dxa"/>
            <w:tcBorders>
              <w:bottom w:val="single" w:sz="6" w:space="0" w:color="B99C16"/>
            </w:tcBorders>
            <w:tcMar>
              <w:bottom w:w="28" w:type="dxa"/>
            </w:tcMar>
            <w:vAlign w:val="center"/>
          </w:tcPr>
          <w:p>
            <w:pPr>
              <w:pStyle w:val="TableContents"/>
              <w:bidi w:val="0"/>
              <w:spacing w:before="0" w:after="283"/>
              <w:jc w:val="left"/>
              <w:rPr/>
            </w:pPr>
            <w:r>
              <w:rPr/>
              <w:t> </w:t>
            </w:r>
          </w:p>
        </w:tc>
        <w:tc>
          <w:tcPr>
            <w:tcW w:w="1039"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left"/>
              <w:rPr/>
            </w:pPr>
            <w:r>
              <w:rPr/>
              <w:t> </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95" w:type="dxa"/>
            <w:tcBorders>
              <w:bottom w:val="single" w:sz="6" w:space="0" w:color="B99C16"/>
            </w:tcBorders>
            <w:tcMar>
              <w:bottom w:w="80" w:type="dxa"/>
            </w:tcMar>
            <w:vAlign w:val="center"/>
          </w:tcPr>
          <w:p>
            <w:pPr>
              <w:pStyle w:val="TableContents"/>
              <w:bidi w:val="0"/>
              <w:spacing w:before="0" w:after="283"/>
              <w:jc w:val="right"/>
              <w:rPr/>
            </w:pPr>
            <w:r>
              <w:rPr/>
              <w:t>02/06/2025</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575" w:type="dxa"/>
            <w:tcBorders>
              <w:bottom w:val="single" w:sz="6" w:space="0" w:color="B99C16"/>
            </w:tcBorders>
            <w:tcMar>
              <w:bottom w:w="80" w:type="dxa"/>
            </w:tcMar>
            <w:vAlign w:val="center"/>
          </w:tcPr>
          <w:p>
            <w:pPr>
              <w:pStyle w:val="TableContents"/>
              <w:bidi w:val="0"/>
              <w:spacing w:before="0" w:after="283"/>
              <w:jc w:val="right"/>
              <w:rPr/>
            </w:pPr>
            <w:r>
              <w:rPr/>
              <w:t>02/06/2025</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7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6" w:type="dxa"/>
            <w:tcBorders>
              <w:bottom w:val="single" w:sz="6" w:space="0" w:color="B99C16"/>
            </w:tcBorders>
            <w:tcMar>
              <w:bottom w:w="28" w:type="dxa"/>
            </w:tcMar>
            <w:vAlign w:val="center"/>
          </w:tcPr>
          <w:p>
            <w:pPr>
              <w:pStyle w:val="TableContents"/>
              <w:bidi w:val="0"/>
              <w:spacing w:before="0" w:after="283"/>
              <w:jc w:val="left"/>
              <w:rPr/>
            </w:pPr>
            <w:r>
              <w:rPr/>
              <w:t> </w:t>
            </w:r>
          </w:p>
        </w:tc>
        <w:tc>
          <w:tcPr>
            <w:tcW w:w="984"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8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0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1" w:type="dxa"/>
            <w:tcBorders>
              <w:bottom w:val="single" w:sz="6" w:space="0" w:color="B99C16"/>
            </w:tcBorders>
            <w:tcMar>
              <w:bottom w:w="80" w:type="dxa"/>
            </w:tcMar>
            <w:vAlign w:val="center"/>
          </w:tcPr>
          <w:p>
            <w:pPr>
              <w:pStyle w:val="TableContents"/>
              <w:bidi w:val="0"/>
              <w:spacing w:before="0" w:after="283"/>
              <w:jc w:val="left"/>
              <w:rPr/>
            </w:pPr>
            <w:r>
              <w:rPr/>
              <w:t> </w:t>
            </w:r>
          </w:p>
        </w:tc>
        <w:tc>
          <w:tcPr>
            <w:tcW w:w="1039" w:type="dxa"/>
            <w:tcBorders>
              <w:bottom w:val="single" w:sz="6" w:space="0" w:color="B99C16"/>
            </w:tcBorders>
            <w:tcMar>
              <w:bottom w:w="80" w:type="dxa"/>
            </w:tcMar>
            <w:vAlign w:val="center"/>
          </w:tcPr>
          <w:p>
            <w:pPr>
              <w:pStyle w:val="TableContents"/>
              <w:bidi w:val="0"/>
              <w:spacing w:before="0" w:after="283"/>
              <w:jc w:val="right"/>
              <w:rPr/>
            </w:pPr>
            <w:r>
              <w:rPr/>
              <w:t>6,897</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980" w:type="dxa"/>
            <w:tcBorders>
              <w:bottom w:val="single" w:sz="6" w:space="0" w:color="B99C16"/>
            </w:tcBorders>
            <w:tcMar>
              <w:bottom w:w="80" w:type="dxa"/>
            </w:tcMar>
            <w:vAlign w:val="center"/>
          </w:tcPr>
          <w:p>
            <w:pPr>
              <w:pStyle w:val="TableContents"/>
              <w:bidi w:val="0"/>
              <w:spacing w:before="0" w:after="283"/>
              <w:jc w:val="right"/>
              <w:rPr/>
            </w:pPr>
            <w:r>
              <w:rPr/>
              <w:t>850,193</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B99C16"/>
            </w:tcBorders>
            <w:shd w:fill="F1EBD0" w:val="clear"/>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995" w:type="dxa"/>
            <w:tcBorders>
              <w:bottom w:val="single" w:sz="8" w:space="0" w:color="B99C16"/>
            </w:tcBorders>
            <w:tcMar>
              <w:bottom w:w="80" w:type="dxa"/>
            </w:tcMar>
            <w:vAlign w:val="center"/>
          </w:tcPr>
          <w:p>
            <w:pPr>
              <w:pStyle w:val="TableContents"/>
              <w:bidi w:val="0"/>
              <w:spacing w:before="0" w:after="283"/>
              <w:jc w:val="right"/>
              <w:rPr/>
            </w:pPr>
            <w:r>
              <w:rPr/>
              <w:t>02/06/2025</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575" w:type="dxa"/>
            <w:tcBorders>
              <w:bottom w:val="single" w:sz="8" w:space="0" w:color="B99C16"/>
            </w:tcBorders>
            <w:tcMar>
              <w:bottom w:w="80" w:type="dxa"/>
            </w:tcMar>
            <w:vAlign w:val="center"/>
          </w:tcPr>
          <w:p>
            <w:pPr>
              <w:pStyle w:val="TableContents"/>
              <w:bidi w:val="0"/>
              <w:spacing w:before="0" w:after="283"/>
              <w:jc w:val="right"/>
              <w:rPr/>
            </w:pPr>
            <w:r>
              <w:rPr/>
              <w:t>03/10/2025</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07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6" w:type="dxa"/>
            <w:tcBorders>
              <w:bottom w:val="single" w:sz="8" w:space="0" w:color="B99C16"/>
            </w:tcBorders>
            <w:tcMar>
              <w:bottom w:w="80" w:type="dxa"/>
            </w:tcMar>
            <w:vAlign w:val="center"/>
          </w:tcPr>
          <w:p>
            <w:pPr>
              <w:pStyle w:val="TableContents"/>
              <w:bidi w:val="0"/>
              <w:spacing w:before="0" w:after="283"/>
              <w:jc w:val="left"/>
              <w:rPr/>
            </w:pPr>
            <w:r>
              <w:rPr/>
              <w:t> </w:t>
            </w:r>
          </w:p>
        </w:tc>
        <w:tc>
          <w:tcPr>
            <w:tcW w:w="984" w:type="dxa"/>
            <w:tcBorders>
              <w:bottom w:val="single" w:sz="8" w:space="0" w:color="B99C16"/>
            </w:tcBorders>
            <w:tcMar>
              <w:bottom w:w="80" w:type="dxa"/>
            </w:tcMar>
            <w:vAlign w:val="center"/>
          </w:tcPr>
          <w:p>
            <w:pPr>
              <w:pStyle w:val="TableContents"/>
              <w:bidi w:val="0"/>
              <w:spacing w:before="0" w:after="283"/>
              <w:jc w:val="right"/>
              <w:rPr/>
            </w:pPr>
            <w:r>
              <w:rPr/>
              <w:t>2,586</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80" w:type="dxa"/>
            <w:tcBorders>
              <w:bottom w:val="single" w:sz="8" w:space="0" w:color="B99C16"/>
            </w:tcBorders>
            <w:tcMar>
              <w:bottom w:w="80" w:type="dxa"/>
            </w:tcMar>
            <w:vAlign w:val="center"/>
          </w:tcPr>
          <w:p>
            <w:pPr>
              <w:pStyle w:val="TableContents"/>
              <w:bidi w:val="0"/>
              <w:spacing w:before="0" w:after="283"/>
              <w:jc w:val="right"/>
              <w:rPr/>
            </w:pPr>
            <w:r>
              <w:rPr/>
              <w:t>6,896</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800" w:type="dxa"/>
            <w:tcBorders>
              <w:bottom w:val="single" w:sz="8" w:space="0" w:color="B99C16"/>
            </w:tcBorders>
            <w:tcMar>
              <w:bottom w:w="80" w:type="dxa"/>
            </w:tcMar>
            <w:vAlign w:val="center"/>
          </w:tcPr>
          <w:p>
            <w:pPr>
              <w:pStyle w:val="TableContents"/>
              <w:bidi w:val="0"/>
              <w:spacing w:before="0" w:after="283"/>
              <w:jc w:val="right"/>
              <w:rPr/>
            </w:pPr>
            <w:r>
              <w:rPr/>
              <w:t>17,240</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1" w:type="dxa"/>
            <w:tcBorders>
              <w:bottom w:val="single" w:sz="8" w:space="0" w:color="B99C16"/>
            </w:tcBorders>
            <w:tcMar>
              <w:bottom w:w="28" w:type="dxa"/>
            </w:tcMar>
            <w:vAlign w:val="center"/>
          </w:tcPr>
          <w:p>
            <w:pPr>
              <w:pStyle w:val="TableContents"/>
              <w:bidi w:val="0"/>
              <w:spacing w:before="0" w:after="283"/>
              <w:jc w:val="left"/>
              <w:rPr/>
            </w:pPr>
            <w:r>
              <w:rPr/>
              <w:t> </w:t>
            </w:r>
          </w:p>
        </w:tc>
        <w:tc>
          <w:tcPr>
            <w:tcW w:w="1039"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980" w:type="dxa"/>
            <w:tcBorders>
              <w:bottom w:val="single" w:sz="8" w:space="0" w:color="B99C16"/>
            </w:tcBorders>
            <w:tcMar>
              <w:bottom w:w="80" w:type="dxa"/>
            </w:tcMar>
            <w:vAlign w:val="center"/>
          </w:tcPr>
          <w:p>
            <w:pPr>
              <w:pStyle w:val="TableContents"/>
              <w:bidi w:val="0"/>
              <w:spacing w:before="0" w:after="283"/>
              <w:jc w:val="right"/>
              <w:rPr/>
            </w:pPr>
            <w:r>
              <w:rPr/>
              <w:t>771,180</w:t>
            </w:r>
          </w:p>
        </w:tc>
        <w:tc>
          <w:tcPr>
            <w:tcW w:w="75" w:type="dxa"/>
            <w:tcBorders>
              <w:bottom w:val="single" w:sz="8" w:space="0" w:color="B99C16"/>
            </w:tcBorders>
            <w:tcMar>
              <w:bottom w:w="80" w:type="dxa"/>
            </w:tcMar>
            <w:vAlign w:val="center"/>
          </w:tcPr>
          <w:p>
            <w:pPr>
              <w:pStyle w:val="TableContents"/>
              <w:bidi w:val="0"/>
              <w:spacing w:before="0" w:after="283"/>
              <w:jc w:val="left"/>
              <w:rPr/>
            </w:pPr>
            <w:r>
              <w:rPr/>
              <w:t> </w:t>
            </w:r>
          </w:p>
        </w:tc>
      </w:tr>
      <w:tr>
        <w:trPr/>
        <w:tc>
          <w:tcPr>
            <w:tcW w:w="1865" w:type="dxa"/>
            <w:tcBorders/>
            <w:shd w:fill="F1EBD0"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B99C16"/>
            </w:tcBorders>
            <w:shd w:fill="F1EBD0" w:val="clear"/>
            <w:tcMar>
              <w:bottom w:w="80" w:type="dxa"/>
            </w:tcMar>
            <w:vAlign w:val="center"/>
          </w:tcPr>
          <w:p>
            <w:pPr>
              <w:pStyle w:val="TableContents"/>
              <w:bidi w:val="0"/>
              <w:spacing w:before="0" w:after="0"/>
              <w:jc w:val="left"/>
              <w:rPr>
                <w:rFonts w:ascii="arial" w:hAnsi="arial"/>
                <w:b/>
                <w:color w:val="004876"/>
                <w:sz w:val="18"/>
              </w:rPr>
            </w:pPr>
            <w:r>
              <w:rPr>
                <w:rFonts w:ascii="arial" w:hAnsi="arial"/>
                <w:b/>
                <w:color w:val="004876"/>
                <w:sz w:val="18"/>
              </w:rPr>
              <w:t>Maureen Adams</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95"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575"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070" w:type="dxa"/>
            <w:tcBorders>
              <w:bottom w:val="single" w:sz="8" w:space="0" w:color="B99C16"/>
            </w:tcBorders>
            <w:tcMar>
              <w:bottom w:w="80" w:type="dxa"/>
            </w:tcMar>
            <w:vAlign w:val="center"/>
          </w:tcPr>
          <w:p>
            <w:pPr>
              <w:pStyle w:val="TableContents"/>
              <w:bidi w:val="0"/>
              <w:spacing w:before="0" w:after="283"/>
              <w:jc w:val="center"/>
              <w:rPr/>
            </w:pPr>
            <w:r>
              <w:rPr/>
              <w:t>223,784</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980" w:type="dxa"/>
            <w:tcBorders>
              <w:bottom w:val="single" w:sz="8" w:space="0" w:color="B99C16"/>
            </w:tcBorders>
            <w:tcMar>
              <w:bottom w:w="80" w:type="dxa"/>
            </w:tcMar>
            <w:vAlign w:val="center"/>
          </w:tcPr>
          <w:p>
            <w:pPr>
              <w:pStyle w:val="TableContents"/>
              <w:bidi w:val="0"/>
              <w:spacing w:before="0" w:after="283"/>
              <w:jc w:val="right"/>
              <w:rPr/>
            </w:pPr>
            <w:r>
              <w:rPr/>
              <w:t>596,756</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980" w:type="dxa"/>
            <w:tcBorders>
              <w:bottom w:val="single" w:sz="8" w:space="0" w:color="B99C16"/>
            </w:tcBorders>
            <w:tcMar>
              <w:bottom w:w="80" w:type="dxa"/>
            </w:tcMar>
            <w:vAlign w:val="center"/>
          </w:tcPr>
          <w:p>
            <w:pPr>
              <w:pStyle w:val="TableContents"/>
              <w:bidi w:val="0"/>
              <w:spacing w:before="0" w:after="283"/>
              <w:jc w:val="right"/>
              <w:rPr/>
            </w:pPr>
            <w:r>
              <w:rPr/>
              <w:t>1,193,512</w:t>
            </w:r>
          </w:p>
        </w:tc>
        <w:tc>
          <w:tcPr>
            <w:tcW w:w="6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6" w:type="dxa"/>
            <w:tcBorders>
              <w:bottom w:val="single" w:sz="8" w:space="0" w:color="B99C16"/>
            </w:tcBorders>
            <w:tcMar>
              <w:bottom w:w="28" w:type="dxa"/>
            </w:tcMar>
            <w:vAlign w:val="center"/>
          </w:tcPr>
          <w:p>
            <w:pPr>
              <w:pStyle w:val="TableContents"/>
              <w:bidi w:val="0"/>
              <w:spacing w:before="0" w:after="283"/>
              <w:jc w:val="left"/>
              <w:rPr/>
            </w:pPr>
            <w:r>
              <w:rPr/>
              <w:t> </w:t>
            </w:r>
          </w:p>
        </w:tc>
        <w:tc>
          <w:tcPr>
            <w:tcW w:w="984"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8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0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1" w:type="dxa"/>
            <w:tcBorders>
              <w:bottom w:val="single" w:sz="8" w:space="0" w:color="B99C16"/>
            </w:tcBorders>
            <w:tcMar>
              <w:bottom w:w="28" w:type="dxa"/>
            </w:tcMar>
            <w:vAlign w:val="center"/>
          </w:tcPr>
          <w:p>
            <w:pPr>
              <w:pStyle w:val="TableContents"/>
              <w:bidi w:val="0"/>
              <w:spacing w:before="0" w:after="283"/>
              <w:jc w:val="left"/>
              <w:rPr/>
            </w:pPr>
            <w:r>
              <w:rPr/>
              <w:t> </w:t>
            </w:r>
          </w:p>
        </w:tc>
        <w:tc>
          <w:tcPr>
            <w:tcW w:w="1039"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80" w:type="dxa"/>
            <w:tcBorders>
              <w:bottom w:val="single" w:sz="8" w:space="0" w:color="B99C16"/>
            </w:tcBorders>
            <w:tcMar>
              <w:bottom w:w="28" w:type="dxa"/>
            </w:tcMar>
            <w:vAlign w:val="center"/>
          </w:tcPr>
          <w:p>
            <w:pPr>
              <w:pStyle w:val="TableContents"/>
              <w:bidi w:val="0"/>
              <w:spacing w:before="0" w:after="283"/>
              <w:jc w:val="left"/>
              <w:rPr/>
            </w:pPr>
            <w:r>
              <w:rPr/>
              <w:t> </w:t>
            </w:r>
          </w:p>
        </w:tc>
        <w:tc>
          <w:tcPr>
            <w:tcW w:w="75" w:type="dxa"/>
            <w:tcBorders>
              <w:bottom w:val="single" w:sz="8" w:space="0" w:color="B99C16"/>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arial" w:hAnsi="arial"/>
                <w:sz w:val="18"/>
              </w:rPr>
            </w:pPr>
            <w:r>
              <w:rPr>
                <w:rFonts w:ascii="arial" w:hAnsi="arial"/>
                <w:sz w:val="18"/>
              </w:rPr>
              <w:t xml:space="preserve">Represents annual incentive bonus opportunities under the EAIP for each of the NEOs. See “Executive Annual Incentive Plan” beginning on page 34. Actual bonus payments for 2025 are listed under Non-Equity Incentive Plan Compensation in the 2025 Summary Compensation Table on page 42.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left"/>
              <w:rPr>
                <w:rFonts w:ascii="arial" w:hAnsi="arial"/>
                <w:sz w:val="18"/>
              </w:rPr>
            </w:pPr>
            <w:r>
              <w:rPr>
                <w:rFonts w:ascii="arial" w:hAnsi="arial"/>
                <w:sz w:val="18"/>
              </w:rPr>
              <w:t xml:space="preserve">Represents the PSUs granted under the ELTI to each of the participating NEOs, which vest based on the Company’s performance with respect to Adjusted EBITDA for compensation purposes and a cash flow metric (each measured over the 2025-2027 performance period). The vesting of these awards is also subject to a TSR modifier measured over the 2025-2027 performance period), which could increase or decrease the number of shares earned under an award by 25%, as more fully explained on pages 36-39.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0"/>
              <w:jc w:val="left"/>
              <w:rPr>
                <w:rFonts w:ascii="arial" w:hAnsi="arial"/>
                <w:sz w:val="18"/>
              </w:rPr>
            </w:pPr>
            <w:r>
              <w:rPr>
                <w:rFonts w:ascii="arial" w:hAnsi="arial"/>
                <w:sz w:val="18"/>
              </w:rPr>
              <w:t xml:space="preserve">Represents RSUs granted under the ELTI to each of the participating NEOs, which are scheduled to vest over three years in equal annual installments (on December 31, 2025, December 31, 2026, and December 31, 2027), subject generally to the NEO’s continued employment through the applicable vesting date. The Committee elected to cash-settle the portion of the 2025 RSU awards vesting on December 31, 2025 for Mr. Carstanjen, Mr. Mudd, and Mr. Blackwell. The cash amounts paid to the participating NEOs with respect to the 2025 RSU awards vesting on December 31, 2025 were based upon the closing price of the Company’s Common Stock on December 31, 2025 ($113.78 per share). Mr. Carstanjen had elected to defer settlement of 50% of the portion of the 2025 RSU awards vesting on December 31, 2025 and Ms. Dall had elected to defer settlement of the entire portion of the 2025 RSU awards vesting on December 31, 2025, in each case pursuant to the Amended and Restated Churchill Downs Incorporated Equity Award Deferral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0"/>
              <w:jc w:val="left"/>
              <w:rPr>
                <w:rFonts w:ascii="arial" w:hAnsi="arial"/>
                <w:sz w:val="18"/>
              </w:rPr>
            </w:pPr>
            <w:r>
              <w:rPr>
                <w:rFonts w:ascii="arial" w:hAnsi="arial"/>
                <w:sz w:val="18"/>
              </w:rPr>
              <w:t xml:space="preserve">The EAIP threshold represents a 50% payout of the pre-established financial performance goal, which constitutes 75% of the target EAIP payout, based upon achievement of the minimum annual Adjusted EBITDA target. The individual performance goal has a range of 0% to 200% payout depending on achievement of goals, which constitutes the remaining 25% of the total EAIP payout and is not included in the threshold.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44</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8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3" descr=""/>
                          <pic:cNvPicPr>
                            <a:picLocks noChangeAspect="1" noChangeArrowheads="1"/>
                          </pic:cNvPicPr>
                        </pic:nvPicPr>
                        <pic:blipFill>
                          <a:blip r:embed="rId84"/>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Outstanding Equity Awards at Fiscal Year-End for Fiscal Year Ended December 31, 2025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67" w:name="toc123994_57"/>
            <w:bookmarkEnd w:id="67"/>
            <w:r>
              <w:rPr>
                <w:rFonts w:ascii="arial" w:hAnsi="arial"/>
                <w:b/>
                <w:color w:val="004876"/>
                <w:sz w:val="48"/>
              </w:rPr>
              <w:t>OUTSTANDING EQUITY AWARDS AT FISCAL YEAR-END FOR FISCAL YEAR ENDED DECEMBER 31, 2025</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The following table provides information regarding unvested stock awards held by each of the NEOs on December 31, 2025. As of such date, none of our NEOs held any outstanding option awards. </w:t>
      </w:r>
    </w:p>
    <w:p>
      <w:pPr>
        <w:pStyle w:val="TextBody"/>
        <w:bidi w:val="0"/>
        <w:spacing w:before="0" w:after="0"/>
        <w:jc w:val="left"/>
        <w:rPr/>
      </w:pPr>
      <w:r>
        <w:rPr/>
        <w:t> </w:t>
      </w:r>
    </w:p>
    <w:tbl>
      <w:tblPr>
        <w:tblW w:w="11005" w:type="dxa"/>
        <w:jc w:val="left"/>
        <w:tblInd w:w="0" w:type="dxa"/>
        <w:tblLayout w:type="fixed"/>
        <w:tblCellMar>
          <w:top w:w="0" w:type="dxa"/>
          <w:left w:w="0" w:type="dxa"/>
          <w:bottom w:w="0" w:type="dxa"/>
          <w:right w:w="0" w:type="dxa"/>
        </w:tblCellMar>
      </w:tblPr>
      <w:tblGrid>
        <w:gridCol w:w="1910"/>
        <w:gridCol w:w="120"/>
        <w:gridCol w:w="152"/>
        <w:gridCol w:w="1728"/>
        <w:gridCol w:w="60"/>
        <w:gridCol w:w="120"/>
        <w:gridCol w:w="143"/>
        <w:gridCol w:w="2337"/>
        <w:gridCol w:w="60"/>
        <w:gridCol w:w="120"/>
        <w:gridCol w:w="171"/>
        <w:gridCol w:w="1949"/>
        <w:gridCol w:w="60"/>
        <w:gridCol w:w="120"/>
        <w:gridCol w:w="108"/>
        <w:gridCol w:w="1772"/>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9095" w:type="dxa"/>
            <w:gridSpan w:val="16"/>
            <w:tcBorders>
              <w:top w:val="single" w:sz="16" w:space="0" w:color="004876"/>
            </w:tcBorders>
            <w:shd w:fill="004876" w:val="clear"/>
            <w:tcMar>
              <w:top w:w="28" w:type="dxa"/>
            </w:tcMar>
            <w:vAlign w:val="center"/>
          </w:tcPr>
          <w:p>
            <w:pPr>
              <w:pStyle w:val="TableContents"/>
              <w:bidi w:val="0"/>
              <w:spacing w:before="0" w:after="283"/>
              <w:jc w:val="left"/>
              <w:rPr/>
            </w:pPr>
            <w:r>
              <w:rPr/>
              <w:t> </w:t>
            </w:r>
          </w:p>
        </w:tc>
      </w:tr>
      <w:tr>
        <w:trPr/>
        <w:tc>
          <w:tcPr>
            <w:tcW w:w="191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8900" w:type="dxa"/>
            <w:gridSpan w:val="14"/>
            <w:tcBorders>
              <w:bottom w:val="single" w:sz="16" w:space="0" w:color="004876"/>
            </w:tcBorders>
            <w:shd w:fill="004876" w:val="clear"/>
            <w:tcMar>
              <w:bottom w:w="28" w:type="dxa"/>
            </w:tcMar>
            <w:vAlign w:val="center"/>
          </w:tcPr>
          <w:p>
            <w:pPr>
              <w:pStyle w:val="TableContents"/>
              <w:bidi w:val="0"/>
              <w:spacing w:before="0" w:after="283"/>
              <w:jc w:val="center"/>
              <w:rPr>
                <w:b/>
                <w:color w:val="FFFFFF"/>
              </w:rPr>
            </w:pPr>
            <w:r>
              <w:rPr>
                <w:b/>
                <w:color w:val="FFFFFF"/>
              </w:rPr>
              <w:t>Stock Awards</w:t>
            </w:r>
          </w:p>
        </w:tc>
        <w:tc>
          <w:tcPr>
            <w:tcW w:w="75"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r>
      <w:tr>
        <w:trPr/>
        <w:tc>
          <w:tcPr>
            <w:tcW w:w="1910" w:type="dxa"/>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880" w:type="dxa"/>
            <w:gridSpan w:val="2"/>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center"/>
              <w:rPr>
                <w:b/>
                <w:color w:val="FFFFFF"/>
              </w:rPr>
            </w:pPr>
            <w:r>
              <w:rPr>
                <w:b/>
                <w:color w:val="FFFFFF"/>
              </w:rPr>
              <w:t>Number of Shares</w:t>
              <w:br/>
              <w:t>or Units of Stock That</w:t>
              <w:br/>
              <w:t>Have Not Vested</w:t>
              <w:br/>
              <w:t>(#)(1)</w:t>
            </w:r>
          </w:p>
        </w:tc>
        <w:tc>
          <w:tcPr>
            <w:tcW w:w="6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2480" w:type="dxa"/>
            <w:gridSpan w:val="2"/>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center"/>
              <w:rPr>
                <w:b/>
                <w:color w:val="FFFFFF"/>
              </w:rPr>
            </w:pPr>
            <w:r>
              <w:rPr>
                <w:b/>
                <w:color w:val="FFFFFF"/>
              </w:rPr>
              <w:t>Market Value of</w:t>
              <w:br/>
              <w:t>Shares or Units of Stock</w:t>
              <w:br/>
              <w:t>That Have Not Vested</w:t>
              <w:br/>
              <w:t>($)(2)</w:t>
            </w:r>
          </w:p>
        </w:tc>
        <w:tc>
          <w:tcPr>
            <w:tcW w:w="6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2120" w:type="dxa"/>
            <w:gridSpan w:val="2"/>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Equity Incentive Plan</w:t>
              <w:br/>
              <w:t>Awards: Number of</w:t>
              <w:br/>
              <w:t>Unearned Shares,</w:t>
              <w:br/>
              <w:t>Units or Other Rights That</w:t>
            </w:r>
          </w:p>
          <w:p>
            <w:pPr>
              <w:pStyle w:val="TableContents"/>
              <w:bidi w:val="0"/>
              <w:spacing w:before="0" w:after="20"/>
              <w:jc w:val="center"/>
              <w:rPr>
                <w:rFonts w:ascii="arial" w:hAnsi="arial"/>
                <w:b/>
                <w:color w:val="FFFFFF"/>
                <w:sz w:val="16"/>
              </w:rPr>
            </w:pPr>
            <w:r>
              <w:rPr>
                <w:rFonts w:ascii="arial" w:hAnsi="arial"/>
                <w:b/>
                <w:color w:val="FFFFFF"/>
                <w:sz w:val="16"/>
              </w:rPr>
              <w:t>Have Not Vested</w:t>
              <w:br/>
              <w:t>(#)(3)</w:t>
            </w:r>
          </w:p>
        </w:tc>
        <w:tc>
          <w:tcPr>
            <w:tcW w:w="6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880" w:type="dxa"/>
            <w:gridSpan w:val="2"/>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Equity Incentive Plan</w:t>
              <w:br/>
              <w:t>Awards: Market or</w:t>
              <w:br/>
              <w:t>Payout Value of</w:t>
            </w:r>
          </w:p>
          <w:p>
            <w:pPr>
              <w:pStyle w:val="TableContents"/>
              <w:bidi w:val="0"/>
              <w:spacing w:before="0" w:after="0"/>
              <w:jc w:val="center"/>
              <w:rPr>
                <w:color w:val="FFFFFF"/>
              </w:rPr>
            </w:pPr>
            <w:r>
              <w:rPr>
                <w:color w:val="FFFFFF"/>
              </w:rPr>
              <w:t> </w:t>
            </w:r>
            <w:r>
              <w:rPr>
                <w:rFonts w:ascii="arial" w:hAnsi="arial"/>
                <w:b/>
                <w:color w:val="FFFFFF"/>
                <w:sz w:val="16"/>
              </w:rPr>
              <w:t>Unearned Shares, Units </w:t>
            </w:r>
          </w:p>
          <w:p>
            <w:pPr>
              <w:pStyle w:val="TableContents"/>
              <w:bidi w:val="0"/>
              <w:spacing w:before="0" w:after="0"/>
              <w:jc w:val="center"/>
              <w:rPr>
                <w:rFonts w:ascii="arial" w:hAnsi="arial"/>
                <w:b/>
                <w:color w:val="FFFFFF"/>
                <w:sz w:val="16"/>
              </w:rPr>
            </w:pPr>
            <w:r>
              <w:rPr>
                <w:rFonts w:ascii="arial" w:hAnsi="arial"/>
                <w:b/>
                <w:color w:val="FFFFFF"/>
                <w:sz w:val="16"/>
              </w:rPr>
              <w:t>or Other Rights That</w:t>
            </w:r>
          </w:p>
          <w:p>
            <w:pPr>
              <w:pStyle w:val="TableContents"/>
              <w:bidi w:val="0"/>
              <w:spacing w:before="0" w:after="0"/>
              <w:jc w:val="center"/>
              <w:rPr>
                <w:rFonts w:ascii="arial" w:hAnsi="arial"/>
                <w:b/>
                <w:color w:val="FFFFFF"/>
                <w:sz w:val="16"/>
              </w:rPr>
            </w:pPr>
            <w:r>
              <w:rPr>
                <w:rFonts w:ascii="arial" w:hAnsi="arial"/>
                <w:b/>
                <w:color w:val="FFFFFF"/>
                <w:sz w:val="16"/>
              </w:rPr>
              <w:t>Have Not Vested</w:t>
            </w:r>
          </w:p>
          <w:p>
            <w:pPr>
              <w:pStyle w:val="TableContents"/>
              <w:bidi w:val="0"/>
              <w:spacing w:before="0" w:after="20"/>
              <w:jc w:val="center"/>
              <w:rPr>
                <w:rFonts w:ascii="arial" w:hAnsi="arial"/>
                <w:b/>
                <w:color w:val="FFFFFF"/>
                <w:sz w:val="16"/>
              </w:rPr>
            </w:pPr>
            <w:r>
              <w:rPr>
                <w:rFonts w:ascii="arial" w:hAnsi="arial"/>
                <w:b/>
                <w:color w:val="FFFFFF"/>
                <w:sz w:val="16"/>
              </w:rPr>
              <w:t>($)(2)</w:t>
            </w:r>
          </w:p>
        </w:tc>
        <w:tc>
          <w:tcPr>
            <w:tcW w:w="75"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060" w:type="dxa"/>
            <w:gridSpan w:val="4"/>
            <w:tcBorders/>
            <w:vAlign w:val="center"/>
          </w:tcPr>
          <w:p>
            <w:pPr>
              <w:pStyle w:val="TableContents"/>
              <w:bidi w:val="0"/>
              <w:spacing w:before="0" w:after="283"/>
              <w:jc w:val="left"/>
              <w:rPr>
                <w:sz w:val="4"/>
                <w:szCs w:val="4"/>
              </w:rPr>
            </w:pPr>
            <w:r>
              <w:rPr>
                <w:sz w:val="4"/>
                <w:szCs w:val="4"/>
              </w:rPr>
            </w:r>
          </w:p>
        </w:tc>
        <w:tc>
          <w:tcPr>
            <w:tcW w:w="266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20"/>
              </w:rPr>
            </w:pPr>
            <w:r>
              <w:rPr>
                <w:rFonts w:ascii="arial" w:hAnsi="arial"/>
                <w:sz w:val="20"/>
              </w:rPr>
              <w:t>William C. Carstanjen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52" w:type="dxa"/>
            <w:tcBorders>
              <w:bottom w:val="single" w:sz="6" w:space="0" w:color="B99C16"/>
            </w:tcBorders>
            <w:tcMar>
              <w:bottom w:w="60" w:type="dxa"/>
            </w:tcMar>
            <w:vAlign w:val="center"/>
          </w:tcPr>
          <w:p>
            <w:pPr>
              <w:pStyle w:val="TableContents"/>
              <w:bidi w:val="0"/>
              <w:spacing w:before="0" w:after="283"/>
              <w:jc w:val="left"/>
              <w:rPr/>
            </w:pPr>
            <w:r>
              <w:rPr/>
              <w:t> </w:t>
            </w:r>
          </w:p>
        </w:tc>
        <w:tc>
          <w:tcPr>
            <w:tcW w:w="1728" w:type="dxa"/>
            <w:tcBorders>
              <w:bottom w:val="single" w:sz="6" w:space="0" w:color="B99C16"/>
            </w:tcBorders>
            <w:tcMar>
              <w:bottom w:w="60" w:type="dxa"/>
            </w:tcMar>
            <w:vAlign w:val="center"/>
          </w:tcPr>
          <w:p>
            <w:pPr>
              <w:pStyle w:val="TableContents"/>
              <w:bidi w:val="0"/>
              <w:spacing w:before="0" w:after="283"/>
              <w:jc w:val="right"/>
              <w:rPr/>
            </w:pPr>
            <w:r>
              <w:rPr/>
              <w:t>41,665</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3" w:type="dxa"/>
            <w:tcBorders>
              <w:bottom w:val="single" w:sz="6" w:space="0" w:color="B99C16"/>
            </w:tcBorders>
            <w:tcMar>
              <w:bottom w:w="60" w:type="dxa"/>
            </w:tcMar>
            <w:vAlign w:val="center"/>
          </w:tcPr>
          <w:p>
            <w:pPr>
              <w:pStyle w:val="TableContents"/>
              <w:bidi w:val="0"/>
              <w:spacing w:before="0" w:after="283"/>
              <w:jc w:val="left"/>
              <w:rPr/>
            </w:pPr>
            <w:r>
              <w:rPr/>
              <w:t> </w:t>
            </w:r>
          </w:p>
        </w:tc>
        <w:tc>
          <w:tcPr>
            <w:tcW w:w="2337" w:type="dxa"/>
            <w:tcBorders>
              <w:bottom w:val="single" w:sz="6" w:space="0" w:color="B99C16"/>
            </w:tcBorders>
            <w:tcMar>
              <w:bottom w:w="60" w:type="dxa"/>
            </w:tcMar>
            <w:vAlign w:val="center"/>
          </w:tcPr>
          <w:p>
            <w:pPr>
              <w:pStyle w:val="TableContents"/>
              <w:bidi w:val="0"/>
              <w:spacing w:before="0" w:after="283"/>
              <w:jc w:val="right"/>
              <w:rPr/>
            </w:pPr>
            <w:r>
              <w:rPr/>
              <w:t>4,740,644</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71" w:type="dxa"/>
            <w:tcBorders>
              <w:bottom w:val="single" w:sz="6" w:space="0" w:color="B99C16"/>
            </w:tcBorders>
            <w:tcMar>
              <w:bottom w:w="60" w:type="dxa"/>
            </w:tcMar>
            <w:vAlign w:val="center"/>
          </w:tcPr>
          <w:p>
            <w:pPr>
              <w:pStyle w:val="TableContents"/>
              <w:bidi w:val="0"/>
              <w:spacing w:before="0" w:after="283"/>
              <w:jc w:val="left"/>
              <w:rPr/>
            </w:pPr>
            <w:r>
              <w:rPr/>
              <w:t> </w:t>
            </w:r>
          </w:p>
        </w:tc>
        <w:tc>
          <w:tcPr>
            <w:tcW w:w="1949" w:type="dxa"/>
            <w:tcBorders>
              <w:bottom w:val="single" w:sz="6" w:space="0" w:color="B99C16"/>
            </w:tcBorders>
            <w:tcMar>
              <w:bottom w:w="60" w:type="dxa"/>
            </w:tcMar>
            <w:vAlign w:val="center"/>
          </w:tcPr>
          <w:p>
            <w:pPr>
              <w:pStyle w:val="TableContents"/>
              <w:bidi w:val="0"/>
              <w:spacing w:before="0" w:after="283"/>
              <w:jc w:val="right"/>
              <w:rPr/>
            </w:pPr>
            <w:r>
              <w:rPr/>
              <w:t>76,317</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8" w:type="dxa"/>
            <w:tcBorders>
              <w:bottom w:val="single" w:sz="6" w:space="0" w:color="B99C16"/>
            </w:tcBorders>
            <w:tcMar>
              <w:bottom w:w="60" w:type="dxa"/>
            </w:tcMar>
            <w:vAlign w:val="center"/>
          </w:tcPr>
          <w:p>
            <w:pPr>
              <w:pStyle w:val="TableContents"/>
              <w:bidi w:val="0"/>
              <w:spacing w:before="0" w:after="283"/>
              <w:jc w:val="left"/>
              <w:rPr/>
            </w:pPr>
            <w:r>
              <w:rPr/>
              <w:t> </w:t>
            </w:r>
          </w:p>
        </w:tc>
        <w:tc>
          <w:tcPr>
            <w:tcW w:w="1772" w:type="dxa"/>
            <w:tcBorders>
              <w:bottom w:val="single" w:sz="6" w:space="0" w:color="B99C16"/>
            </w:tcBorders>
            <w:tcMar>
              <w:bottom w:w="60" w:type="dxa"/>
            </w:tcMar>
            <w:vAlign w:val="center"/>
          </w:tcPr>
          <w:p>
            <w:pPr>
              <w:pStyle w:val="TableContents"/>
              <w:bidi w:val="0"/>
              <w:spacing w:before="0" w:after="283"/>
              <w:jc w:val="right"/>
              <w:rPr/>
            </w:pPr>
            <w:r>
              <w:rPr/>
              <w:t>8,683,348</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060" w:type="dxa"/>
            <w:gridSpan w:val="4"/>
            <w:tcBorders/>
            <w:vAlign w:val="center"/>
          </w:tcPr>
          <w:p>
            <w:pPr>
              <w:pStyle w:val="TableContents"/>
              <w:bidi w:val="0"/>
              <w:spacing w:before="0" w:after="283"/>
              <w:jc w:val="left"/>
              <w:rPr>
                <w:sz w:val="4"/>
                <w:szCs w:val="4"/>
              </w:rPr>
            </w:pPr>
            <w:r>
              <w:rPr>
                <w:sz w:val="4"/>
                <w:szCs w:val="4"/>
              </w:rPr>
            </w:r>
          </w:p>
        </w:tc>
        <w:tc>
          <w:tcPr>
            <w:tcW w:w="266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20"/>
              </w:rPr>
            </w:pPr>
            <w:r>
              <w:rPr>
                <w:rFonts w:ascii="arial" w:hAnsi="arial"/>
                <w:sz w:val="20"/>
              </w:rPr>
              <w:t>William E. Mudd</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52" w:type="dxa"/>
            <w:tcBorders>
              <w:bottom w:val="single" w:sz="6" w:space="0" w:color="B99C16"/>
            </w:tcBorders>
            <w:tcMar>
              <w:bottom w:w="60" w:type="dxa"/>
            </w:tcMar>
            <w:vAlign w:val="center"/>
          </w:tcPr>
          <w:p>
            <w:pPr>
              <w:pStyle w:val="TableContents"/>
              <w:bidi w:val="0"/>
              <w:spacing w:before="0" w:after="283"/>
              <w:jc w:val="left"/>
              <w:rPr/>
            </w:pPr>
            <w:r>
              <w:rPr/>
              <w:t> </w:t>
            </w:r>
          </w:p>
        </w:tc>
        <w:tc>
          <w:tcPr>
            <w:tcW w:w="1728" w:type="dxa"/>
            <w:tcBorders>
              <w:bottom w:val="single" w:sz="6" w:space="0" w:color="B99C16"/>
            </w:tcBorders>
            <w:tcMar>
              <w:bottom w:w="60" w:type="dxa"/>
            </w:tcMar>
            <w:vAlign w:val="center"/>
          </w:tcPr>
          <w:p>
            <w:pPr>
              <w:pStyle w:val="TableContents"/>
              <w:bidi w:val="0"/>
              <w:spacing w:before="0" w:after="283"/>
              <w:jc w:val="right"/>
              <w:rPr/>
            </w:pPr>
            <w:r>
              <w:rPr/>
              <w:t>14,884</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3" w:type="dxa"/>
            <w:tcBorders>
              <w:bottom w:val="single" w:sz="6" w:space="0" w:color="B99C16"/>
            </w:tcBorders>
            <w:tcMar>
              <w:bottom w:w="60" w:type="dxa"/>
            </w:tcMar>
            <w:vAlign w:val="center"/>
          </w:tcPr>
          <w:p>
            <w:pPr>
              <w:pStyle w:val="TableContents"/>
              <w:bidi w:val="0"/>
              <w:spacing w:before="0" w:after="283"/>
              <w:jc w:val="left"/>
              <w:rPr/>
            </w:pPr>
            <w:r>
              <w:rPr/>
              <w:t> </w:t>
            </w:r>
          </w:p>
        </w:tc>
        <w:tc>
          <w:tcPr>
            <w:tcW w:w="2337" w:type="dxa"/>
            <w:tcBorders>
              <w:bottom w:val="single" w:sz="6" w:space="0" w:color="B99C16"/>
            </w:tcBorders>
            <w:tcMar>
              <w:bottom w:w="60" w:type="dxa"/>
            </w:tcMar>
            <w:vAlign w:val="center"/>
          </w:tcPr>
          <w:p>
            <w:pPr>
              <w:pStyle w:val="TableContents"/>
              <w:bidi w:val="0"/>
              <w:spacing w:before="0" w:after="283"/>
              <w:jc w:val="right"/>
              <w:rPr/>
            </w:pPr>
            <w:r>
              <w:rPr/>
              <w:t>1,693,502</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71" w:type="dxa"/>
            <w:tcBorders>
              <w:bottom w:val="single" w:sz="6" w:space="0" w:color="B99C16"/>
            </w:tcBorders>
            <w:tcMar>
              <w:bottom w:w="60" w:type="dxa"/>
            </w:tcMar>
            <w:vAlign w:val="center"/>
          </w:tcPr>
          <w:p>
            <w:pPr>
              <w:pStyle w:val="TableContents"/>
              <w:bidi w:val="0"/>
              <w:spacing w:before="0" w:after="283"/>
              <w:jc w:val="left"/>
              <w:rPr/>
            </w:pPr>
            <w:r>
              <w:rPr/>
              <w:t> </w:t>
            </w:r>
          </w:p>
        </w:tc>
        <w:tc>
          <w:tcPr>
            <w:tcW w:w="1949" w:type="dxa"/>
            <w:tcBorders>
              <w:bottom w:val="single" w:sz="6" w:space="0" w:color="B99C16"/>
            </w:tcBorders>
            <w:tcMar>
              <w:bottom w:w="60" w:type="dxa"/>
            </w:tcMar>
            <w:vAlign w:val="center"/>
          </w:tcPr>
          <w:p>
            <w:pPr>
              <w:pStyle w:val="TableContents"/>
              <w:bidi w:val="0"/>
              <w:spacing w:before="0" w:after="283"/>
              <w:jc w:val="right"/>
              <w:rPr/>
            </w:pPr>
            <w:r>
              <w:rPr/>
              <w:t>28,421</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8" w:type="dxa"/>
            <w:tcBorders>
              <w:bottom w:val="single" w:sz="6" w:space="0" w:color="B99C16"/>
            </w:tcBorders>
            <w:tcMar>
              <w:bottom w:w="60" w:type="dxa"/>
            </w:tcMar>
            <w:vAlign w:val="center"/>
          </w:tcPr>
          <w:p>
            <w:pPr>
              <w:pStyle w:val="TableContents"/>
              <w:bidi w:val="0"/>
              <w:spacing w:before="0" w:after="283"/>
              <w:jc w:val="left"/>
              <w:rPr/>
            </w:pPr>
            <w:r>
              <w:rPr/>
              <w:t> </w:t>
            </w:r>
          </w:p>
        </w:tc>
        <w:tc>
          <w:tcPr>
            <w:tcW w:w="1772" w:type="dxa"/>
            <w:tcBorders>
              <w:bottom w:val="single" w:sz="6" w:space="0" w:color="B99C16"/>
            </w:tcBorders>
            <w:tcMar>
              <w:bottom w:w="60" w:type="dxa"/>
            </w:tcMar>
            <w:vAlign w:val="center"/>
          </w:tcPr>
          <w:p>
            <w:pPr>
              <w:pStyle w:val="TableContents"/>
              <w:bidi w:val="0"/>
              <w:spacing w:before="0" w:after="283"/>
              <w:jc w:val="right"/>
              <w:rPr/>
            </w:pPr>
            <w:r>
              <w:rPr/>
              <w:t>3,233,741</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060" w:type="dxa"/>
            <w:gridSpan w:val="4"/>
            <w:tcBorders/>
            <w:vAlign w:val="center"/>
          </w:tcPr>
          <w:p>
            <w:pPr>
              <w:pStyle w:val="TableContents"/>
              <w:bidi w:val="0"/>
              <w:spacing w:before="0" w:after="283"/>
              <w:jc w:val="left"/>
              <w:rPr>
                <w:sz w:val="4"/>
                <w:szCs w:val="4"/>
              </w:rPr>
            </w:pPr>
            <w:r>
              <w:rPr>
                <w:sz w:val="4"/>
                <w:szCs w:val="4"/>
              </w:rPr>
            </w:r>
          </w:p>
        </w:tc>
        <w:tc>
          <w:tcPr>
            <w:tcW w:w="266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20"/>
              </w:rPr>
            </w:pPr>
            <w:r>
              <w:rPr>
                <w:rFonts w:ascii="arial" w:hAnsi="arial"/>
                <w:sz w:val="20"/>
              </w:rPr>
              <w:t>Marcia A. Dall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52" w:type="dxa"/>
            <w:tcBorders>
              <w:bottom w:val="single" w:sz="6" w:space="0" w:color="B99C16"/>
            </w:tcBorders>
            <w:tcMar>
              <w:bottom w:w="60" w:type="dxa"/>
            </w:tcMar>
            <w:vAlign w:val="center"/>
          </w:tcPr>
          <w:p>
            <w:pPr>
              <w:pStyle w:val="TableContents"/>
              <w:bidi w:val="0"/>
              <w:spacing w:before="0" w:after="283"/>
              <w:jc w:val="left"/>
              <w:rPr/>
            </w:pPr>
            <w:r>
              <w:rPr/>
              <w:t> </w:t>
            </w:r>
          </w:p>
        </w:tc>
        <w:tc>
          <w:tcPr>
            <w:tcW w:w="1728" w:type="dxa"/>
            <w:tcBorders>
              <w:bottom w:val="single" w:sz="6" w:space="0" w:color="B99C16"/>
            </w:tcBorders>
            <w:tcMar>
              <w:bottom w:w="60" w:type="dxa"/>
            </w:tcMar>
            <w:vAlign w:val="center"/>
          </w:tcPr>
          <w:p>
            <w:pPr>
              <w:pStyle w:val="TableContents"/>
              <w:bidi w:val="0"/>
              <w:spacing w:before="0" w:after="283"/>
              <w:jc w:val="right"/>
              <w:rPr/>
            </w:pPr>
            <w:r>
              <w:rPr/>
              <w:t>9,202</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3" w:type="dxa"/>
            <w:tcBorders>
              <w:bottom w:val="single" w:sz="6" w:space="0" w:color="B99C16"/>
            </w:tcBorders>
            <w:tcMar>
              <w:bottom w:w="60" w:type="dxa"/>
            </w:tcMar>
            <w:vAlign w:val="center"/>
          </w:tcPr>
          <w:p>
            <w:pPr>
              <w:pStyle w:val="TableContents"/>
              <w:bidi w:val="0"/>
              <w:spacing w:before="0" w:after="283"/>
              <w:jc w:val="left"/>
              <w:rPr/>
            </w:pPr>
            <w:r>
              <w:rPr/>
              <w:t> </w:t>
            </w:r>
          </w:p>
        </w:tc>
        <w:tc>
          <w:tcPr>
            <w:tcW w:w="2337" w:type="dxa"/>
            <w:tcBorders>
              <w:bottom w:val="single" w:sz="6" w:space="0" w:color="B99C16"/>
            </w:tcBorders>
            <w:tcMar>
              <w:bottom w:w="60" w:type="dxa"/>
            </w:tcMar>
            <w:vAlign w:val="center"/>
          </w:tcPr>
          <w:p>
            <w:pPr>
              <w:pStyle w:val="TableContents"/>
              <w:bidi w:val="0"/>
              <w:spacing w:before="0" w:after="283"/>
              <w:jc w:val="right"/>
              <w:rPr/>
            </w:pPr>
            <w:r>
              <w:rPr/>
              <w:t>1,047,004</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71" w:type="dxa"/>
            <w:tcBorders>
              <w:bottom w:val="single" w:sz="6" w:space="0" w:color="B99C16"/>
            </w:tcBorders>
            <w:tcMar>
              <w:bottom w:w="60" w:type="dxa"/>
            </w:tcMar>
            <w:vAlign w:val="center"/>
          </w:tcPr>
          <w:p>
            <w:pPr>
              <w:pStyle w:val="TableContents"/>
              <w:bidi w:val="0"/>
              <w:spacing w:before="0" w:after="283"/>
              <w:jc w:val="left"/>
              <w:rPr/>
            </w:pPr>
            <w:r>
              <w:rPr/>
              <w:t> </w:t>
            </w:r>
          </w:p>
        </w:tc>
        <w:tc>
          <w:tcPr>
            <w:tcW w:w="1949" w:type="dxa"/>
            <w:tcBorders>
              <w:bottom w:val="single" w:sz="6" w:space="0" w:color="B99C16"/>
            </w:tcBorders>
            <w:tcMar>
              <w:bottom w:w="60" w:type="dxa"/>
            </w:tcMar>
            <w:vAlign w:val="center"/>
          </w:tcPr>
          <w:p>
            <w:pPr>
              <w:pStyle w:val="TableContents"/>
              <w:bidi w:val="0"/>
              <w:spacing w:before="0" w:after="283"/>
              <w:jc w:val="right"/>
              <w:rPr/>
            </w:pPr>
            <w:r>
              <w:rPr/>
              <w:t>18,274</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8" w:type="dxa"/>
            <w:tcBorders>
              <w:bottom w:val="single" w:sz="6" w:space="0" w:color="B99C16"/>
            </w:tcBorders>
            <w:tcMar>
              <w:bottom w:w="60" w:type="dxa"/>
            </w:tcMar>
            <w:vAlign w:val="center"/>
          </w:tcPr>
          <w:p>
            <w:pPr>
              <w:pStyle w:val="TableContents"/>
              <w:bidi w:val="0"/>
              <w:spacing w:before="0" w:after="283"/>
              <w:jc w:val="left"/>
              <w:rPr/>
            </w:pPr>
            <w:r>
              <w:rPr/>
              <w:t> </w:t>
            </w:r>
          </w:p>
        </w:tc>
        <w:tc>
          <w:tcPr>
            <w:tcW w:w="1772" w:type="dxa"/>
            <w:tcBorders>
              <w:bottom w:val="single" w:sz="6" w:space="0" w:color="B99C16"/>
            </w:tcBorders>
            <w:tcMar>
              <w:bottom w:w="60" w:type="dxa"/>
            </w:tcMar>
            <w:vAlign w:val="center"/>
          </w:tcPr>
          <w:p>
            <w:pPr>
              <w:pStyle w:val="TableContents"/>
              <w:bidi w:val="0"/>
              <w:spacing w:before="0" w:after="283"/>
              <w:jc w:val="right"/>
              <w:rPr/>
            </w:pPr>
            <w:r>
              <w:rPr/>
              <w:t>2,079,216</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060" w:type="dxa"/>
            <w:gridSpan w:val="4"/>
            <w:tcBorders/>
            <w:vAlign w:val="center"/>
          </w:tcPr>
          <w:p>
            <w:pPr>
              <w:pStyle w:val="TableContents"/>
              <w:bidi w:val="0"/>
              <w:spacing w:before="0" w:after="283"/>
              <w:jc w:val="left"/>
              <w:rPr>
                <w:sz w:val="4"/>
                <w:szCs w:val="4"/>
              </w:rPr>
            </w:pPr>
            <w:r>
              <w:rPr>
                <w:sz w:val="4"/>
                <w:szCs w:val="4"/>
              </w:rPr>
            </w:r>
          </w:p>
        </w:tc>
        <w:tc>
          <w:tcPr>
            <w:tcW w:w="266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20"/>
              </w:rPr>
            </w:pPr>
            <w:r>
              <w:rPr>
                <w:rFonts w:ascii="arial" w:hAnsi="arial"/>
                <w:sz w:val="20"/>
              </w:rPr>
              <w:t>Bradley K. Blackwell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52" w:type="dxa"/>
            <w:tcBorders>
              <w:bottom w:val="single" w:sz="6" w:space="0" w:color="B99C16"/>
            </w:tcBorders>
            <w:tcMar>
              <w:bottom w:w="60" w:type="dxa"/>
            </w:tcMar>
            <w:vAlign w:val="center"/>
          </w:tcPr>
          <w:p>
            <w:pPr>
              <w:pStyle w:val="TableContents"/>
              <w:bidi w:val="0"/>
              <w:spacing w:before="0" w:after="283"/>
              <w:jc w:val="left"/>
              <w:rPr/>
            </w:pPr>
            <w:r>
              <w:rPr/>
              <w:t> </w:t>
            </w:r>
          </w:p>
        </w:tc>
        <w:tc>
          <w:tcPr>
            <w:tcW w:w="1728" w:type="dxa"/>
            <w:tcBorders>
              <w:bottom w:val="single" w:sz="6" w:space="0" w:color="B99C16"/>
            </w:tcBorders>
            <w:tcMar>
              <w:bottom w:w="60" w:type="dxa"/>
            </w:tcMar>
            <w:vAlign w:val="center"/>
          </w:tcPr>
          <w:p>
            <w:pPr>
              <w:pStyle w:val="TableContents"/>
              <w:bidi w:val="0"/>
              <w:spacing w:before="0" w:after="283"/>
              <w:jc w:val="right"/>
              <w:rPr/>
            </w:pPr>
            <w:r>
              <w:rPr/>
              <w:t>6,089</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3" w:type="dxa"/>
            <w:tcBorders>
              <w:bottom w:val="single" w:sz="6" w:space="0" w:color="B99C16"/>
            </w:tcBorders>
            <w:tcMar>
              <w:bottom w:w="60" w:type="dxa"/>
            </w:tcMar>
            <w:vAlign w:val="center"/>
          </w:tcPr>
          <w:p>
            <w:pPr>
              <w:pStyle w:val="TableContents"/>
              <w:bidi w:val="0"/>
              <w:spacing w:before="0" w:after="283"/>
              <w:jc w:val="left"/>
              <w:rPr/>
            </w:pPr>
            <w:r>
              <w:rPr/>
              <w:t> </w:t>
            </w:r>
          </w:p>
        </w:tc>
        <w:tc>
          <w:tcPr>
            <w:tcW w:w="2337" w:type="dxa"/>
            <w:tcBorders>
              <w:bottom w:val="single" w:sz="6" w:space="0" w:color="B99C16"/>
            </w:tcBorders>
            <w:tcMar>
              <w:bottom w:w="60" w:type="dxa"/>
            </w:tcMar>
            <w:vAlign w:val="center"/>
          </w:tcPr>
          <w:p>
            <w:pPr>
              <w:pStyle w:val="TableContents"/>
              <w:bidi w:val="0"/>
              <w:spacing w:before="0" w:after="283"/>
              <w:jc w:val="right"/>
              <w:rPr/>
            </w:pPr>
            <w:r>
              <w:rPr/>
              <w:t>692,806</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71" w:type="dxa"/>
            <w:tcBorders>
              <w:bottom w:val="single" w:sz="6" w:space="0" w:color="B99C16"/>
            </w:tcBorders>
            <w:tcMar>
              <w:bottom w:w="60" w:type="dxa"/>
            </w:tcMar>
            <w:vAlign w:val="center"/>
          </w:tcPr>
          <w:p>
            <w:pPr>
              <w:pStyle w:val="TableContents"/>
              <w:bidi w:val="0"/>
              <w:spacing w:before="0" w:after="283"/>
              <w:jc w:val="left"/>
              <w:rPr/>
            </w:pPr>
            <w:r>
              <w:rPr/>
              <w:t> </w:t>
            </w:r>
          </w:p>
        </w:tc>
        <w:tc>
          <w:tcPr>
            <w:tcW w:w="1949" w:type="dxa"/>
            <w:tcBorders>
              <w:bottom w:val="single" w:sz="6" w:space="0" w:color="B99C16"/>
            </w:tcBorders>
            <w:tcMar>
              <w:bottom w:w="60" w:type="dxa"/>
            </w:tcMar>
            <w:vAlign w:val="center"/>
          </w:tcPr>
          <w:p>
            <w:pPr>
              <w:pStyle w:val="TableContents"/>
              <w:bidi w:val="0"/>
              <w:spacing w:before="0" w:after="283"/>
              <w:jc w:val="right"/>
              <w:rPr/>
            </w:pPr>
            <w:r>
              <w:rPr/>
              <w:t>11,368</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8" w:type="dxa"/>
            <w:tcBorders>
              <w:bottom w:val="single" w:sz="6" w:space="0" w:color="B99C16"/>
            </w:tcBorders>
            <w:tcMar>
              <w:bottom w:w="60" w:type="dxa"/>
            </w:tcMar>
            <w:vAlign w:val="center"/>
          </w:tcPr>
          <w:p>
            <w:pPr>
              <w:pStyle w:val="TableContents"/>
              <w:bidi w:val="0"/>
              <w:spacing w:before="0" w:after="283"/>
              <w:jc w:val="left"/>
              <w:rPr/>
            </w:pPr>
            <w:r>
              <w:rPr/>
              <w:t> </w:t>
            </w:r>
          </w:p>
        </w:tc>
        <w:tc>
          <w:tcPr>
            <w:tcW w:w="1772" w:type="dxa"/>
            <w:tcBorders>
              <w:bottom w:val="single" w:sz="6" w:space="0" w:color="B99C16"/>
            </w:tcBorders>
            <w:tcMar>
              <w:bottom w:w="60" w:type="dxa"/>
            </w:tcMar>
            <w:vAlign w:val="center"/>
          </w:tcPr>
          <w:p>
            <w:pPr>
              <w:pStyle w:val="TableContents"/>
              <w:bidi w:val="0"/>
              <w:spacing w:before="0" w:after="283"/>
              <w:jc w:val="right"/>
              <w:rPr/>
            </w:pPr>
            <w:r>
              <w:rPr/>
              <w:t>1,293,451</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060" w:type="dxa"/>
            <w:gridSpan w:val="4"/>
            <w:tcBorders/>
            <w:vAlign w:val="center"/>
          </w:tcPr>
          <w:p>
            <w:pPr>
              <w:pStyle w:val="TableContents"/>
              <w:bidi w:val="0"/>
              <w:spacing w:before="0" w:after="283"/>
              <w:jc w:val="left"/>
              <w:rPr>
                <w:sz w:val="4"/>
                <w:szCs w:val="4"/>
              </w:rPr>
            </w:pPr>
            <w:r>
              <w:rPr>
                <w:sz w:val="4"/>
                <w:szCs w:val="4"/>
              </w:rPr>
            </w:r>
          </w:p>
        </w:tc>
        <w:tc>
          <w:tcPr>
            <w:tcW w:w="266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60" w:type="dxa"/>
            </w:tcMar>
            <w:vAlign w:val="center"/>
          </w:tcPr>
          <w:p>
            <w:pPr>
              <w:pStyle w:val="TableContents"/>
              <w:bidi w:val="0"/>
              <w:spacing w:before="0" w:after="0"/>
              <w:jc w:val="left"/>
              <w:rPr>
                <w:rFonts w:ascii="arial" w:hAnsi="arial"/>
                <w:sz w:val="20"/>
              </w:rPr>
            </w:pPr>
            <w:r>
              <w:rPr>
                <w:rFonts w:ascii="arial" w:hAnsi="arial"/>
                <w:sz w:val="20"/>
              </w:rPr>
              <w:t>Maureen Adams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52" w:type="dxa"/>
            <w:tcBorders>
              <w:bottom w:val="single" w:sz="6" w:space="0" w:color="B99C16"/>
            </w:tcBorders>
            <w:tcMar>
              <w:bottom w:w="60" w:type="dxa"/>
            </w:tcMar>
            <w:vAlign w:val="center"/>
          </w:tcPr>
          <w:p>
            <w:pPr>
              <w:pStyle w:val="TableContents"/>
              <w:bidi w:val="0"/>
              <w:spacing w:before="0" w:after="283"/>
              <w:jc w:val="left"/>
              <w:rPr/>
            </w:pPr>
            <w:r>
              <w:rPr/>
              <w:t> </w:t>
            </w:r>
          </w:p>
        </w:tc>
        <w:tc>
          <w:tcPr>
            <w:tcW w:w="1728" w:type="dxa"/>
            <w:tcBorders>
              <w:bottom w:val="single" w:sz="6" w:space="0" w:color="B99C16"/>
            </w:tcBorders>
            <w:tcMar>
              <w:bottom w:w="60" w:type="dxa"/>
            </w:tcMar>
            <w:vAlign w:val="center"/>
          </w:tcPr>
          <w:p>
            <w:pPr>
              <w:pStyle w:val="TableContents"/>
              <w:bidi w:val="0"/>
              <w:spacing w:before="0" w:after="283"/>
              <w:jc w:val="right"/>
              <w:rPr/>
            </w:pPr>
            <w:r>
              <w:rPr/>
              <w:t>1,491</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3" w:type="dxa"/>
            <w:tcBorders>
              <w:bottom w:val="single" w:sz="6" w:space="0" w:color="B99C16"/>
            </w:tcBorders>
            <w:tcMar>
              <w:bottom w:w="60" w:type="dxa"/>
            </w:tcMar>
            <w:vAlign w:val="center"/>
          </w:tcPr>
          <w:p>
            <w:pPr>
              <w:pStyle w:val="TableContents"/>
              <w:bidi w:val="0"/>
              <w:spacing w:before="0" w:after="283"/>
              <w:jc w:val="left"/>
              <w:rPr/>
            </w:pPr>
            <w:r>
              <w:rPr/>
              <w:t> </w:t>
            </w:r>
          </w:p>
        </w:tc>
        <w:tc>
          <w:tcPr>
            <w:tcW w:w="2337" w:type="dxa"/>
            <w:tcBorders>
              <w:bottom w:val="single" w:sz="6" w:space="0" w:color="B99C16"/>
            </w:tcBorders>
            <w:tcMar>
              <w:bottom w:w="60" w:type="dxa"/>
            </w:tcMar>
            <w:vAlign w:val="center"/>
          </w:tcPr>
          <w:p>
            <w:pPr>
              <w:pStyle w:val="TableContents"/>
              <w:bidi w:val="0"/>
              <w:spacing w:before="0" w:after="283"/>
              <w:jc w:val="right"/>
              <w:rPr/>
            </w:pPr>
            <w:r>
              <w:rPr/>
              <w:t>169,646</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71" w:type="dxa"/>
            <w:tcBorders>
              <w:bottom w:val="single" w:sz="6" w:space="0" w:color="B99C16"/>
            </w:tcBorders>
            <w:tcMar>
              <w:bottom w:w="60" w:type="dxa"/>
            </w:tcMar>
            <w:vAlign w:val="center"/>
          </w:tcPr>
          <w:p>
            <w:pPr>
              <w:pStyle w:val="TableContents"/>
              <w:bidi w:val="0"/>
              <w:spacing w:before="0" w:after="283"/>
              <w:jc w:val="left"/>
              <w:rPr/>
            </w:pPr>
            <w:r>
              <w:rPr/>
              <w:t> </w:t>
            </w:r>
          </w:p>
        </w:tc>
        <w:tc>
          <w:tcPr>
            <w:tcW w:w="1949" w:type="dxa"/>
            <w:tcBorders>
              <w:bottom w:val="single" w:sz="6" w:space="0" w:color="B99C16"/>
            </w:tcBorders>
            <w:tcMar>
              <w:bottom w:w="60" w:type="dxa"/>
            </w:tcMar>
            <w:vAlign w:val="center"/>
          </w:tcPr>
          <w:p>
            <w:pPr>
              <w:pStyle w:val="TableContents"/>
              <w:bidi w:val="0"/>
              <w:spacing w:before="0" w:after="283"/>
              <w:jc w:val="right"/>
              <w:rPr/>
            </w:pPr>
            <w:r>
              <w:rPr/>
              <w:t>4,472</w:t>
            </w:r>
          </w:p>
        </w:tc>
        <w:tc>
          <w:tcPr>
            <w:tcW w:w="60" w:type="dxa"/>
            <w:tcBorders>
              <w:bottom w:val="single" w:sz="6" w:space="0" w:color="B99C16"/>
            </w:tcBorders>
            <w:tcMar>
              <w:bottom w:w="6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08" w:type="dxa"/>
            <w:tcBorders>
              <w:bottom w:val="single" w:sz="6" w:space="0" w:color="B99C16"/>
            </w:tcBorders>
            <w:tcMar>
              <w:bottom w:w="60" w:type="dxa"/>
            </w:tcMar>
            <w:vAlign w:val="center"/>
          </w:tcPr>
          <w:p>
            <w:pPr>
              <w:pStyle w:val="TableContents"/>
              <w:bidi w:val="0"/>
              <w:spacing w:before="0" w:after="283"/>
              <w:jc w:val="left"/>
              <w:rPr/>
            </w:pPr>
            <w:r>
              <w:rPr/>
              <w:t> </w:t>
            </w:r>
          </w:p>
        </w:tc>
        <w:tc>
          <w:tcPr>
            <w:tcW w:w="1772" w:type="dxa"/>
            <w:tcBorders>
              <w:bottom w:val="single" w:sz="6" w:space="0" w:color="B99C16"/>
            </w:tcBorders>
            <w:tcMar>
              <w:bottom w:w="60" w:type="dxa"/>
            </w:tcMar>
            <w:vAlign w:val="center"/>
          </w:tcPr>
          <w:p>
            <w:pPr>
              <w:pStyle w:val="TableContents"/>
              <w:bidi w:val="0"/>
              <w:spacing w:before="0" w:after="283"/>
              <w:jc w:val="right"/>
              <w:rPr/>
            </w:pPr>
            <w:r>
              <w:rPr/>
              <w:t>508,824</w:t>
            </w:r>
          </w:p>
        </w:tc>
        <w:tc>
          <w:tcPr>
            <w:tcW w:w="75" w:type="dxa"/>
            <w:tcBorders>
              <w:bottom w:val="single" w:sz="6" w:space="0" w:color="B99C16"/>
            </w:tcBorders>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left"/>
              <w:rPr>
                <w:rFonts w:ascii="arial" w:hAnsi="arial"/>
                <w:sz w:val="20"/>
              </w:rPr>
            </w:pPr>
            <w:r>
              <w:rPr>
                <w:rFonts w:ascii="arial" w:hAnsi="arial"/>
                <w:sz w:val="20"/>
              </w:rPr>
              <w:t xml:space="preserve">Represent awards under the ELTI consisting of RSUs and PSUs for continued employment periods from January 1, 2024—December 31, 2027. The 41,665 RSUs for Mr. Carstanjen vest as follows: 25,440 units on December 31, 2026; and 16,225 units on December 31, 2027. The 14,884 RSUs for Mr. Mudd vest as follows: 9,475 units on December 31, 2026; and 5,409 units on December 31, 2027. The 9,202 RSUs for Ms. Dall vest as follows: 6,092 units on December 31, 2026; and 3,110 units on December 31, 2027. The 6,089 RSUs for Mr. Blackwell vest as follows: 3,790 units on December 31, 2026; and 2,299 units on December 31, 2027. The 1,491 RSUs for Ms. Adams vest on December 31, 2026. </w:t>
            </w:r>
          </w:p>
        </w:tc>
      </w:tr>
    </w:tbl>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305"/>
        <w:gridCol w:w="6890"/>
      </w:tblGrid>
      <w:tr>
        <w:trPr/>
        <w:tc>
          <w:tcPr>
            <w:tcW w:w="305" w:type="dxa"/>
            <w:tcBorders/>
            <w:vAlign w:val="center"/>
          </w:tcPr>
          <w:p>
            <w:pPr>
              <w:pStyle w:val="TableContents"/>
              <w:bidi w:val="0"/>
              <w:spacing w:before="0" w:after="283"/>
              <w:jc w:val="left"/>
              <w:rPr/>
            </w:pPr>
            <w:r>
              <w:rPr/>
              <w:t>(2)</w:t>
            </w:r>
          </w:p>
        </w:tc>
        <w:tc>
          <w:tcPr>
            <w:tcW w:w="6890" w:type="dxa"/>
            <w:tcBorders/>
            <w:vAlign w:val="center"/>
          </w:tcPr>
          <w:p>
            <w:pPr>
              <w:pStyle w:val="TableContents"/>
              <w:bidi w:val="0"/>
              <w:spacing w:before="0" w:after="0"/>
              <w:jc w:val="left"/>
              <w:rPr>
                <w:rFonts w:ascii="arial" w:hAnsi="arial"/>
                <w:sz w:val="20"/>
              </w:rPr>
            </w:pPr>
            <w:r>
              <w:rPr>
                <w:rFonts w:ascii="arial" w:hAnsi="arial"/>
                <w:sz w:val="20"/>
              </w:rPr>
              <w:t xml:space="preserve">Based on the December 31, 2025 closing price of CHDN of $113.78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0"/>
              <w:jc w:val="left"/>
              <w:rPr>
                <w:rFonts w:ascii="arial" w:hAnsi="arial"/>
                <w:sz w:val="20"/>
              </w:rPr>
            </w:pPr>
            <w:r>
              <w:rPr>
                <w:rFonts w:ascii="arial" w:hAnsi="arial"/>
                <w:sz w:val="20"/>
              </w:rPr>
              <w:t xml:space="preserve">Represent awards under the ELTI consisting of PSUs for certain performance periods from January 1, 2024 through December 31, 2027, which are subject to vesting upon meeting the performance criteria at the end of each applicable performance period. The 76,317 PSUs for Mr. Carstanjen are subject to vesting on the following dates: 27,643 units on December 31, 2026 and 48,674 units on December 31, 2027. The 28,421 PSUs for Mr. Mudd are subject to vesting on the following dates: 12,196 units on December 31, 2026 and 16,225 units on December 31, 2027. The 18,274 PSUs for Ms. Dall are subject to vesting on the following dates: 8,944 units on December 31, 2026 and 9,330 units on December 31, 2027. The 11,368 PSUs for Mr. Blackwell are subject to vesting on the following dates: 4,472 units on December 31, 2026 and 6,896 units on December 31, 2027. The 4,472 PSUs for Ms. Adams are subject to vesting on December 31, 2026. For purposes of this table, the PSUs are reported assuming target performance.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8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4" descr=""/>
                          <pic:cNvPicPr>
                            <a:picLocks noChangeAspect="1" noChangeArrowheads="1"/>
                          </pic:cNvPicPr>
                        </pic:nvPicPr>
                        <pic:blipFill>
                          <a:blip r:embed="rId85"/>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45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Stock Vested for Fiscal Year Ended December 31, 2025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68" w:name="toc123994_58"/>
            <w:bookmarkEnd w:id="68"/>
            <w:r>
              <w:rPr>
                <w:rFonts w:ascii="arial" w:hAnsi="arial"/>
                <w:b/>
                <w:color w:val="004876"/>
                <w:sz w:val="48"/>
              </w:rPr>
              <w:t>STOCK VESTED FOR FISCAL YEAR ENDED DECEMBER 31, 2025</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The following table provides information concerning vesting of stock awards during 2025 for each of the NEOs. None of our NEOs held any stock options during 2025. </w:t>
      </w:r>
    </w:p>
    <w:p>
      <w:pPr>
        <w:pStyle w:val="TextBody"/>
        <w:bidi w:val="0"/>
        <w:spacing w:before="0" w:after="0"/>
        <w:jc w:val="left"/>
        <w:rPr/>
      </w:pPr>
      <w:r>
        <w:rPr/>
        <w:t> </w:t>
      </w:r>
    </w:p>
    <w:tbl>
      <w:tblPr>
        <w:tblW w:w="6299" w:type="dxa"/>
        <w:jc w:val="left"/>
        <w:tblInd w:w="0" w:type="dxa"/>
        <w:tblLayout w:type="fixed"/>
        <w:tblCellMar>
          <w:top w:w="0" w:type="dxa"/>
          <w:left w:w="0" w:type="dxa"/>
          <w:bottom w:w="0" w:type="dxa"/>
          <w:right w:w="0" w:type="dxa"/>
        </w:tblCellMar>
      </w:tblPr>
      <w:tblGrid>
        <w:gridCol w:w="1910"/>
        <w:gridCol w:w="120"/>
        <w:gridCol w:w="165"/>
        <w:gridCol w:w="1955"/>
        <w:gridCol w:w="60"/>
        <w:gridCol w:w="120"/>
        <w:gridCol w:w="235"/>
        <w:gridCol w:w="1659"/>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top w:val="single" w:sz="16" w:space="0" w:color="004876"/>
              <w:left w:val="single" w:sz="6" w:space="0" w:color="000000"/>
            </w:tcBorders>
            <w:shd w:fill="004876" w:val="clear"/>
            <w:tcMar>
              <w:top w:w="28" w:type="dxa"/>
              <w:left w:w="160" w:type="dxa"/>
            </w:tcMar>
            <w:vAlign w:val="center"/>
          </w:tcPr>
          <w:p>
            <w:pPr>
              <w:pStyle w:val="TableContents"/>
              <w:bidi w:val="0"/>
              <w:spacing w:before="0" w:after="283"/>
              <w:jc w:val="left"/>
              <w:rPr/>
            </w:pPr>
            <w:r>
              <w:rPr/>
              <w:t> </w:t>
            </w:r>
          </w:p>
        </w:tc>
        <w:tc>
          <w:tcPr>
            <w:tcW w:w="4389" w:type="dxa"/>
            <w:gridSpan w:val="8"/>
            <w:tcBorders>
              <w:top w:val="single" w:sz="16" w:space="0" w:color="004876"/>
            </w:tcBorders>
            <w:shd w:fill="004876" w:val="clear"/>
            <w:tcMar>
              <w:top w:w="28" w:type="dxa"/>
            </w:tcMar>
            <w:vAlign w:val="center"/>
          </w:tcPr>
          <w:p>
            <w:pPr>
              <w:pStyle w:val="TableContents"/>
              <w:bidi w:val="0"/>
              <w:spacing w:before="0" w:after="283"/>
              <w:jc w:val="left"/>
              <w:rPr/>
            </w:pPr>
            <w:r>
              <w:rPr/>
              <w:t> </w:t>
            </w:r>
          </w:p>
        </w:tc>
      </w:tr>
      <w:tr>
        <w:trPr/>
        <w:tc>
          <w:tcPr>
            <w:tcW w:w="1910" w:type="dxa"/>
            <w:tcBorders>
              <w:left w:val="single" w:sz="6" w:space="0" w:color="000000"/>
              <w:bottom w:val="single" w:sz="16" w:space="0" w:color="004876"/>
            </w:tcBorders>
            <w:shd w:fill="004876" w:val="clear"/>
            <w:tcMar>
              <w:left w:w="160" w:type="dxa"/>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4194" w:type="dxa"/>
            <w:gridSpan w:val="6"/>
            <w:tcBorders>
              <w:bottom w:val="single" w:sz="16" w:space="0" w:color="004876"/>
            </w:tcBorders>
            <w:shd w:fill="004876" w:val="clear"/>
            <w:tcMar>
              <w:bottom w:w="28" w:type="dxa"/>
            </w:tcMar>
            <w:vAlign w:val="center"/>
          </w:tcPr>
          <w:p>
            <w:pPr>
              <w:pStyle w:val="TableContents"/>
              <w:bidi w:val="0"/>
              <w:spacing w:before="0" w:after="283"/>
              <w:jc w:val="center"/>
              <w:rPr>
                <w:b/>
                <w:color w:val="FFFFFF"/>
              </w:rPr>
            </w:pPr>
            <w:r>
              <w:rPr>
                <w:b/>
                <w:color w:val="FFFFFF"/>
              </w:rPr>
              <w:t>Stock Awards</w:t>
            </w:r>
          </w:p>
        </w:tc>
        <w:tc>
          <w:tcPr>
            <w:tcW w:w="75"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r>
      <w:tr>
        <w:trPr/>
        <w:tc>
          <w:tcPr>
            <w:tcW w:w="1910" w:type="dxa"/>
            <w:tcBorders>
              <w:top w:val="single" w:sz="16" w:space="0" w:color="004876"/>
              <w:left w:val="single" w:sz="6" w:space="0" w:color="000000"/>
              <w:bottom w:val="single" w:sz="16" w:space="0" w:color="004876"/>
            </w:tcBorders>
            <w:shd w:fill="004876" w:val="clear"/>
            <w:tcMar>
              <w:top w:w="28" w:type="dxa"/>
              <w:left w:w="160" w:type="dxa"/>
              <w:bottom w:w="28" w:type="dxa"/>
            </w:tcMar>
            <w:vAlign w:val="center"/>
          </w:tcPr>
          <w:p>
            <w:pPr>
              <w:pStyle w:val="TableContents"/>
              <w:bidi w:val="0"/>
              <w:spacing w:before="0" w:after="283"/>
              <w:jc w:val="left"/>
              <w:rPr/>
            </w:pPr>
            <w:r>
              <w:rPr/>
              <w:t>  </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2120" w:type="dxa"/>
            <w:gridSpan w:val="2"/>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283"/>
              <w:jc w:val="center"/>
              <w:rPr>
                <w:b/>
                <w:color w:val="FFFFFF"/>
              </w:rPr>
            </w:pPr>
            <w:r>
              <w:rPr>
                <w:b/>
                <w:color w:val="FFFFFF"/>
              </w:rPr>
              <w:t>Number of Shares</w:t>
              <w:br/>
              <w:t>Acquired on Vesting</w:t>
            </w:r>
          </w:p>
        </w:tc>
        <w:tc>
          <w:tcPr>
            <w:tcW w:w="6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894" w:type="dxa"/>
            <w:gridSpan w:val="2"/>
            <w:tcBorders>
              <w:top w:val="single" w:sz="16" w:space="0" w:color="004876"/>
              <w:bottom w:val="single" w:sz="16" w:space="0" w:color="004876"/>
            </w:tcBorders>
            <w:shd w:fill="004876" w:val="clear"/>
            <w:tcMar>
              <w:top w:w="28" w:type="dxa"/>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Value Realized</w:t>
            </w:r>
          </w:p>
          <w:p>
            <w:pPr>
              <w:pStyle w:val="TableContents"/>
              <w:bidi w:val="0"/>
              <w:spacing w:before="0" w:after="20"/>
              <w:jc w:val="center"/>
              <w:rPr>
                <w:color w:val="FFFFFF"/>
              </w:rPr>
            </w:pPr>
            <w:r>
              <w:rPr>
                <w:color w:val="FFFFFF"/>
              </w:rPr>
              <w:t>  </w:t>
            </w:r>
            <w:r>
              <w:rPr>
                <w:rFonts w:ascii="arial" w:hAnsi="arial"/>
                <w:b/>
                <w:color w:val="FFFFFF"/>
                <w:sz w:val="16"/>
              </w:rPr>
              <w:t>on Vesting(1)  </w:t>
            </w:r>
          </w:p>
        </w:tc>
        <w:tc>
          <w:tcPr>
            <w:tcW w:w="75" w:type="dxa"/>
            <w:tcBorders>
              <w:top w:val="single" w:sz="16" w:space="0" w:color="004876"/>
              <w:bottom w:val="single" w:sz="16" w:space="0" w:color="004876"/>
              <w:right w:val="single" w:sz="6" w:space="0" w:color="004876"/>
            </w:tcBorders>
            <w:shd w:fill="004876" w:val="clear"/>
            <w:tcMar>
              <w:top w:w="28" w:type="dxa"/>
              <w:bottom w:w="28" w:type="dxa"/>
              <w:right w:w="40" w:type="dxa"/>
            </w:tcMar>
            <w:vAlign w:val="center"/>
          </w:tcPr>
          <w:p>
            <w:pPr>
              <w:pStyle w:val="TableContents"/>
              <w:bidi w:val="0"/>
              <w:spacing w:before="0" w:after="283"/>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089"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William C. Carstanjen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6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95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224,182</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3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659"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22,716,539</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089"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William E. Mudd</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6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95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125,089</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3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659"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12,627,630</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089"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Marcia A. Dall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6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95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21,235</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3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659"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2,170,854</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089"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Bradley K. Blackwell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6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95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12,995</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35" w:type="dxa"/>
            <w:tcBorders>
              <w:bottom w:val="single" w:sz="6" w:space="0" w:color="B99C16"/>
            </w:tcBorders>
            <w:tcMar>
              <w:bottom w:w="120" w:type="dxa"/>
            </w:tcMar>
            <w:vAlign w:val="center"/>
          </w:tcPr>
          <w:p>
            <w:pPr>
              <w:pStyle w:val="TableContents"/>
              <w:bidi w:val="0"/>
              <w:spacing w:before="0" w:after="283"/>
              <w:jc w:val="left"/>
              <w:rPr/>
            </w:pPr>
            <w:r>
              <w:rPr/>
              <w:t>$</w:t>
            </w:r>
          </w:p>
        </w:tc>
        <w:tc>
          <w:tcPr>
            <w:tcW w:w="1659" w:type="dxa"/>
            <w:tcBorders>
              <w:bottom w:val="single" w:sz="6" w:space="0" w:color="B99C16"/>
            </w:tcBorders>
            <w:tcMar>
              <w:bottom w:w="120" w:type="dxa"/>
            </w:tcMar>
            <w:vAlign w:val="center"/>
          </w:tcPr>
          <w:p>
            <w:pPr>
              <w:pStyle w:val="TableContents"/>
              <w:bidi w:val="0"/>
              <w:spacing w:before="0" w:after="283"/>
              <w:jc w:val="right"/>
              <w:rPr/>
            </w:pPr>
            <w:r>
              <w:rPr/>
              <w:t>1,370,130</w:t>
            </w:r>
          </w:p>
        </w:tc>
        <w:tc>
          <w:tcPr>
            <w:tcW w:w="75" w:type="dxa"/>
            <w:tcBorders>
              <w:bottom w:val="single" w:sz="6" w:space="0" w:color="B99C16"/>
            </w:tcBorders>
            <w:tcMar>
              <w:bottom w:w="120" w:type="dxa"/>
            </w:tcMar>
            <w:vAlign w:val="center"/>
          </w:tcPr>
          <w:p>
            <w:pPr>
              <w:pStyle w:val="TableContents"/>
              <w:bidi w:val="0"/>
              <w:spacing w:before="0" w:after="283"/>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089"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Maureen Adams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6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95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10,548</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235" w:type="dxa"/>
            <w:tcBorders>
              <w:bottom w:val="single" w:sz="6" w:space="0" w:color="B99C16"/>
            </w:tcBorders>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659"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1,090,430</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0"/>
              <w:jc w:val="left"/>
              <w:rPr>
                <w:rFonts w:ascii="arial" w:hAnsi="arial"/>
                <w:sz w:val="20"/>
              </w:rPr>
            </w:pPr>
            <w:r>
              <w:rPr>
                <w:rFonts w:ascii="arial" w:hAnsi="arial"/>
                <w:sz w:val="20"/>
              </w:rPr>
              <w:t xml:space="preserve">The RSUs vested reflect the market value of the stock on the day the stock vested. In 2026, the Committee offered the then-serving NEOs cash-settlement of the 2023 PSU awards and Mr. Carstanjen and Mr. Mudd accepted the Committee’s offer to settle the awards in cash. Accordingly, in February 2026, the 2023 PSU awards for the participating NEOs were settled in cash after certification by the Committee that the Company achieved the required level of performance, based upon the closing price of the Company’s Common stock on February 5, 2026 ($93.69 per share). Ms. Dall and Mr. Blackwell elected to receive settlement of the awards in Company Common Stock.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46</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8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5" descr=""/>
                          <pic:cNvPicPr>
                            <a:picLocks noChangeAspect="1" noChangeArrowheads="1"/>
                          </pic:cNvPicPr>
                        </pic:nvPicPr>
                        <pic:blipFill>
                          <a:blip r:embed="rId86"/>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Nonqualified Deferred Compensation for Fiscal Year Ended December 31, 2025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69" w:name="toc123994_59"/>
            <w:bookmarkEnd w:id="69"/>
            <w:r>
              <w:rPr>
                <w:rFonts w:ascii="arial" w:hAnsi="arial"/>
                <w:b/>
                <w:color w:val="004876"/>
                <w:sz w:val="48"/>
              </w:rPr>
              <w:t>NONQUALIFIED DEFERRED COMPENSATION FOR FISCAL YEAR ENDED DECEMBER 31, 2025</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The following table provides information regarding the Deferral Plan adopted by the Company, effective January 1, 2020 and compensation that had been previously deferred by the NEOs pursuant to the terms of the Company’s legacy nonqualified deferred compensation plan. </w:t>
      </w:r>
    </w:p>
    <w:p>
      <w:pPr>
        <w:pStyle w:val="TextBody"/>
        <w:bidi w:val="0"/>
        <w:spacing w:before="0" w:after="0"/>
        <w:jc w:val="left"/>
        <w:rPr/>
      </w:pPr>
      <w:r>
        <w:rPr/>
        <w:t> </w:t>
      </w:r>
    </w:p>
    <w:tbl>
      <w:tblPr>
        <w:tblW w:w="10370" w:type="dxa"/>
        <w:jc w:val="left"/>
        <w:tblInd w:w="0" w:type="dxa"/>
        <w:tblLayout w:type="fixed"/>
        <w:tblCellMar>
          <w:top w:w="0" w:type="dxa"/>
          <w:left w:w="0" w:type="dxa"/>
          <w:bottom w:w="0" w:type="dxa"/>
          <w:right w:w="0" w:type="dxa"/>
        </w:tblCellMar>
      </w:tblPr>
      <w:tblGrid>
        <w:gridCol w:w="1235"/>
        <w:gridCol w:w="60"/>
        <w:gridCol w:w="100"/>
        <w:gridCol w:w="1345"/>
        <w:gridCol w:w="60"/>
        <w:gridCol w:w="60"/>
        <w:gridCol w:w="315"/>
        <w:gridCol w:w="1130"/>
        <w:gridCol w:w="60"/>
        <w:gridCol w:w="60"/>
        <w:gridCol w:w="85"/>
        <w:gridCol w:w="1510"/>
        <w:gridCol w:w="155"/>
        <w:gridCol w:w="60"/>
        <w:gridCol w:w="364"/>
        <w:gridCol w:w="1306"/>
        <w:gridCol w:w="60"/>
        <w:gridCol w:w="60"/>
        <w:gridCol w:w="130"/>
        <w:gridCol w:w="2140"/>
        <w:gridCol w:w="7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35" w:type="dxa"/>
            <w:tcBorders/>
            <w:shd w:fill="004876" w:val="clear"/>
            <w:vAlign w:val="center"/>
          </w:tcPr>
          <w:p>
            <w:pPr>
              <w:pStyle w:val="TableContents"/>
              <w:bidi w:val="0"/>
              <w:spacing w:before="0" w:after="283"/>
              <w:jc w:val="left"/>
              <w:rPr>
                <w:sz w:val="4"/>
                <w:szCs w:val="4"/>
              </w:rPr>
            </w:pPr>
            <w:r>
              <w:rPr>
                <w:sz w:val="4"/>
                <w:szCs w:val="4"/>
              </w:rPr>
            </w:r>
          </w:p>
        </w:tc>
        <w:tc>
          <w:tcPr>
            <w:tcW w:w="1565" w:type="dxa"/>
            <w:gridSpan w:val="4"/>
            <w:tcBorders/>
            <w:shd w:fill="004876" w:val="clear"/>
            <w:vAlign w:val="center"/>
          </w:tcPr>
          <w:p>
            <w:pPr>
              <w:pStyle w:val="TableContents"/>
              <w:bidi w:val="0"/>
              <w:spacing w:before="0" w:after="283"/>
              <w:jc w:val="left"/>
              <w:rPr>
                <w:sz w:val="4"/>
                <w:szCs w:val="4"/>
              </w:rPr>
            </w:pPr>
            <w:r>
              <w:rPr>
                <w:sz w:val="4"/>
                <w:szCs w:val="4"/>
              </w:rPr>
            </w:r>
          </w:p>
        </w:tc>
        <w:tc>
          <w:tcPr>
            <w:tcW w:w="1565" w:type="dxa"/>
            <w:gridSpan w:val="4"/>
            <w:tcBorders/>
            <w:shd w:fill="004876" w:val="clear"/>
            <w:vAlign w:val="center"/>
          </w:tcPr>
          <w:p>
            <w:pPr>
              <w:pStyle w:val="TableContents"/>
              <w:bidi w:val="0"/>
              <w:spacing w:before="0" w:after="283"/>
              <w:jc w:val="left"/>
              <w:rPr>
                <w:sz w:val="4"/>
                <w:szCs w:val="4"/>
              </w:rPr>
            </w:pPr>
            <w:r>
              <w:rPr>
                <w:sz w:val="4"/>
                <w:szCs w:val="4"/>
              </w:rPr>
            </w:r>
          </w:p>
        </w:tc>
        <w:tc>
          <w:tcPr>
            <w:tcW w:w="1810" w:type="dxa"/>
            <w:gridSpan w:val="4"/>
            <w:tcBorders/>
            <w:shd w:fill="004876" w:val="clear"/>
            <w:vAlign w:val="center"/>
          </w:tcPr>
          <w:p>
            <w:pPr>
              <w:pStyle w:val="TableContents"/>
              <w:bidi w:val="0"/>
              <w:spacing w:before="0" w:after="283"/>
              <w:jc w:val="left"/>
              <w:rPr>
                <w:sz w:val="4"/>
                <w:szCs w:val="4"/>
              </w:rPr>
            </w:pPr>
            <w:r>
              <w:rPr>
                <w:sz w:val="4"/>
                <w:szCs w:val="4"/>
              </w:rPr>
            </w:r>
          </w:p>
        </w:tc>
        <w:tc>
          <w:tcPr>
            <w:tcW w:w="1790" w:type="dxa"/>
            <w:gridSpan w:val="4"/>
            <w:tcBorders/>
            <w:shd w:fill="004876" w:val="clear"/>
            <w:vAlign w:val="center"/>
          </w:tcPr>
          <w:p>
            <w:pPr>
              <w:pStyle w:val="TableContents"/>
              <w:bidi w:val="0"/>
              <w:spacing w:before="0" w:after="283"/>
              <w:jc w:val="left"/>
              <w:rPr>
                <w:sz w:val="4"/>
                <w:szCs w:val="4"/>
              </w:rPr>
            </w:pPr>
            <w:r>
              <w:rPr>
                <w:sz w:val="4"/>
                <w:szCs w:val="4"/>
              </w:rPr>
            </w:r>
          </w:p>
        </w:tc>
        <w:tc>
          <w:tcPr>
            <w:tcW w:w="2405" w:type="dxa"/>
            <w:gridSpan w:val="4"/>
            <w:tcBorders/>
            <w:shd w:fill="004876" w:val="clear"/>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004876"/>
            </w:tcBorders>
            <w:shd w:fill="004876" w:val="clear"/>
            <w:tcMar>
              <w:bottom w:w="12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445" w:type="dxa"/>
            <w:gridSpan w:val="2"/>
            <w:tcBorders>
              <w:bottom w:val="single" w:sz="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Executive</w:t>
              <w:br/>
              <w:t>Contributions</w:t>
              <w:br/>
              <w:t>in Last Fiscal</w:t>
              <w:br/>
              <w:t>Year ($)(1)</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445" w:type="dxa"/>
            <w:gridSpan w:val="2"/>
            <w:tcBorders>
              <w:bottom w:val="single" w:sz="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Registrant</w:t>
              <w:br/>
              <w:t>Contributions</w:t>
              <w:br/>
              <w:t>in Last Fiscal</w:t>
              <w:br/>
              <w:t>Year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595" w:type="dxa"/>
            <w:gridSpan w:val="2"/>
            <w:tcBorders>
              <w:bottom w:val="single" w:sz="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Aggregate</w:t>
              <w:br/>
              <w:t>Earnings</w:t>
              <w:br/>
              <w:t>(Losses) in Last</w:t>
              <w:br/>
              <w:t>Fiscal Year ($)</w:t>
            </w:r>
          </w:p>
        </w:tc>
        <w:tc>
          <w:tcPr>
            <w:tcW w:w="15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670" w:type="dxa"/>
            <w:gridSpan w:val="2"/>
            <w:tcBorders>
              <w:bottom w:val="single" w:sz="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Aggregate</w:t>
              <w:br/>
              <w:t>Withdrawals</w:t>
              <w:br/>
              <w:t>Distributions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2270" w:type="dxa"/>
            <w:gridSpan w:val="2"/>
            <w:tcBorders>
              <w:bottom w:val="single" w:sz="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Aggregate</w:t>
              <w:br/>
              <w:t>Balance at Last</w:t>
              <w:br/>
              <w:t>Fiscal Year End ($)(1)(2)</w:t>
            </w:r>
          </w:p>
        </w:tc>
        <w:tc>
          <w:tcPr>
            <w:tcW w:w="7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F4F0DC" w:val="clear"/>
            <w:vAlign w:val="center"/>
          </w:tcPr>
          <w:p>
            <w:pPr>
              <w:pStyle w:val="TableContents"/>
              <w:bidi w:val="0"/>
              <w:spacing w:before="0" w:after="0"/>
              <w:jc w:val="left"/>
              <w:rPr>
                <w:rFonts w:ascii="arial" w:hAnsi="arial"/>
                <w:b/>
                <w:color w:val="004876"/>
                <w:sz w:val="18"/>
              </w:rPr>
            </w:pPr>
            <w:r>
              <w:rPr>
                <w:rFonts w:ascii="arial" w:hAnsi="arial"/>
                <w:b/>
                <w:color w:val="004876"/>
                <w:sz w:val="18"/>
              </w:rPr>
              <w:t>William C. Carstanjen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0" w:type="dxa"/>
            <w:tcBorders>
              <w:bottom w:val="single" w:sz="6" w:space="0" w:color="B99C16"/>
            </w:tcBorders>
            <w:tcMar>
              <w:bottom w:w="28" w:type="dxa"/>
            </w:tcMar>
            <w:vAlign w:val="center"/>
          </w:tcPr>
          <w:p>
            <w:pPr>
              <w:pStyle w:val="TableContents"/>
              <w:bidi w:val="0"/>
              <w:spacing w:before="0" w:after="283"/>
              <w:jc w:val="left"/>
              <w:rPr/>
            </w:pPr>
            <w:r>
              <w:rPr/>
              <w:t> </w:t>
            </w:r>
          </w:p>
        </w:tc>
        <w:tc>
          <w:tcPr>
            <w:tcW w:w="134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15"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510" w:type="dxa"/>
            <w:tcBorders>
              <w:bottom w:val="single" w:sz="6" w:space="0" w:color="B99C16"/>
            </w:tcBorders>
            <w:tcMar>
              <w:bottom w:w="28" w:type="dxa"/>
            </w:tcMar>
            <w:vAlign w:val="center"/>
          </w:tcPr>
          <w:p>
            <w:pPr>
              <w:pStyle w:val="TableContents"/>
              <w:bidi w:val="0"/>
              <w:spacing w:before="0" w:after="283"/>
              <w:jc w:val="left"/>
              <w:rPr/>
            </w:pPr>
            <w:r>
              <w:rPr/>
              <w:t> </w:t>
            </w:r>
          </w:p>
        </w:tc>
        <w:tc>
          <w:tcPr>
            <w:tcW w:w="15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64" w:type="dxa"/>
            <w:tcBorders>
              <w:bottom w:val="single" w:sz="6" w:space="0" w:color="B99C16"/>
            </w:tcBorders>
            <w:tcMar>
              <w:bottom w:w="28" w:type="dxa"/>
            </w:tcMar>
            <w:vAlign w:val="center"/>
          </w:tcPr>
          <w:p>
            <w:pPr>
              <w:pStyle w:val="TableContents"/>
              <w:bidi w:val="0"/>
              <w:spacing w:before="0" w:after="283"/>
              <w:jc w:val="left"/>
              <w:rPr/>
            </w:pPr>
            <w:r>
              <w:rPr/>
              <w:t> </w:t>
            </w:r>
          </w:p>
        </w:tc>
        <w:tc>
          <w:tcPr>
            <w:tcW w:w="1306"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0" w:type="dxa"/>
            <w:tcBorders>
              <w:bottom w:val="single" w:sz="6" w:space="0" w:color="B99C16"/>
            </w:tcBorders>
            <w:tcMar>
              <w:bottom w:w="28" w:type="dxa"/>
            </w:tcMar>
            <w:vAlign w:val="center"/>
          </w:tcPr>
          <w:p>
            <w:pPr>
              <w:pStyle w:val="TableContents"/>
              <w:bidi w:val="0"/>
              <w:spacing w:before="0" w:after="283"/>
              <w:jc w:val="left"/>
              <w:rPr/>
            </w:pPr>
            <w:r>
              <w:rPr/>
              <w:t> </w:t>
            </w:r>
          </w:p>
        </w:tc>
        <w:tc>
          <w:tcPr>
            <w:tcW w:w="2140" w:type="dxa"/>
            <w:tcBorders>
              <w:bottom w:val="single" w:sz="6" w:space="0" w:color="B99C16"/>
            </w:tcBorders>
            <w:tcMar>
              <w:bottom w:w="28" w:type="dxa"/>
            </w:tcMar>
            <w:vAlign w:val="center"/>
          </w:tcPr>
          <w:p>
            <w:pPr>
              <w:pStyle w:val="TableContents"/>
              <w:bidi w:val="0"/>
              <w:spacing w:before="0" w:after="283"/>
              <w:jc w:val="left"/>
              <w:rPr/>
            </w:pPr>
            <w:r>
              <w:rPr/>
              <w:t> </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F4F0DC" w:val="clear"/>
            <w:vAlign w:val="center"/>
          </w:tcPr>
          <w:p>
            <w:pPr>
              <w:pStyle w:val="TableContents"/>
              <w:bidi w:val="0"/>
              <w:spacing w:before="0" w:after="0"/>
              <w:jc w:val="left"/>
              <w:rPr>
                <w:rFonts w:ascii="arial" w:hAnsi="arial"/>
                <w:sz w:val="18"/>
              </w:rPr>
            </w:pPr>
            <w:r>
              <w:rPr>
                <w:rFonts w:ascii="arial" w:hAnsi="arial"/>
                <w:sz w:val="18"/>
              </w:rPr>
              <w:t>Deferral Plan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0" w:type="dxa"/>
            <w:tcBorders>
              <w:bottom w:val="single" w:sz="6" w:space="0" w:color="B99C16"/>
            </w:tcBorders>
            <w:tcMar>
              <w:bottom w:w="28" w:type="dxa"/>
            </w:tcMar>
            <w:vAlign w:val="center"/>
          </w:tcPr>
          <w:p>
            <w:pPr>
              <w:pStyle w:val="TableContents"/>
              <w:bidi w:val="0"/>
              <w:spacing w:before="0" w:after="283"/>
              <w:jc w:val="left"/>
              <w:rPr/>
            </w:pPr>
            <w:r>
              <w:rPr/>
              <w:t> </w:t>
            </w:r>
          </w:p>
        </w:tc>
        <w:tc>
          <w:tcPr>
            <w:tcW w:w="1345" w:type="dxa"/>
            <w:tcBorders>
              <w:bottom w:val="single" w:sz="6" w:space="0" w:color="B99C16"/>
            </w:tcBorders>
            <w:tcMar>
              <w:bottom w:w="28" w:type="dxa"/>
            </w:tcMar>
            <w:vAlign w:val="center"/>
          </w:tcPr>
          <w:p>
            <w:pPr>
              <w:pStyle w:val="TableContents"/>
              <w:bidi w:val="0"/>
              <w:spacing w:before="0" w:after="283"/>
              <w:jc w:val="right"/>
              <w:rPr/>
            </w:pPr>
            <w:r>
              <w:rPr/>
              <w:t>887,825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15"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510" w:type="dxa"/>
            <w:tcBorders>
              <w:bottom w:val="single" w:sz="6" w:space="0" w:color="B99C16"/>
            </w:tcBorders>
            <w:tcMar>
              <w:bottom w:w="28" w:type="dxa"/>
            </w:tcMar>
            <w:vAlign w:val="center"/>
          </w:tcPr>
          <w:p>
            <w:pPr>
              <w:pStyle w:val="TableContents"/>
              <w:bidi w:val="0"/>
              <w:spacing w:before="0" w:after="283"/>
              <w:jc w:val="right"/>
              <w:rPr/>
            </w:pPr>
            <w:r>
              <w:rPr/>
              <w:t>(1,366,648</w:t>
            </w:r>
          </w:p>
        </w:tc>
        <w:tc>
          <w:tcPr>
            <w:tcW w:w="15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64" w:type="dxa"/>
            <w:tcBorders>
              <w:bottom w:val="single" w:sz="6" w:space="0" w:color="B99C16"/>
            </w:tcBorders>
            <w:tcMar>
              <w:bottom w:w="28" w:type="dxa"/>
            </w:tcMar>
            <w:vAlign w:val="center"/>
          </w:tcPr>
          <w:p>
            <w:pPr>
              <w:pStyle w:val="TableContents"/>
              <w:bidi w:val="0"/>
              <w:spacing w:before="0" w:after="283"/>
              <w:jc w:val="left"/>
              <w:rPr/>
            </w:pPr>
            <w:r>
              <w:rPr/>
              <w:t> </w:t>
            </w:r>
          </w:p>
        </w:tc>
        <w:tc>
          <w:tcPr>
            <w:tcW w:w="1306"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0" w:type="dxa"/>
            <w:tcBorders>
              <w:bottom w:val="single" w:sz="6" w:space="0" w:color="B99C16"/>
            </w:tcBorders>
            <w:tcMar>
              <w:bottom w:w="28" w:type="dxa"/>
            </w:tcMar>
            <w:vAlign w:val="center"/>
          </w:tcPr>
          <w:p>
            <w:pPr>
              <w:pStyle w:val="TableContents"/>
              <w:bidi w:val="0"/>
              <w:spacing w:before="0" w:after="283"/>
              <w:jc w:val="left"/>
              <w:rPr/>
            </w:pPr>
            <w:r>
              <w:rPr/>
              <w:t> </w:t>
            </w:r>
          </w:p>
        </w:tc>
        <w:tc>
          <w:tcPr>
            <w:tcW w:w="2140" w:type="dxa"/>
            <w:tcBorders>
              <w:bottom w:val="single" w:sz="6" w:space="0" w:color="B99C16"/>
            </w:tcBorders>
            <w:tcMar>
              <w:bottom w:w="28" w:type="dxa"/>
            </w:tcMar>
            <w:vAlign w:val="center"/>
          </w:tcPr>
          <w:p>
            <w:pPr>
              <w:pStyle w:val="TableContents"/>
              <w:bidi w:val="0"/>
              <w:spacing w:before="0" w:after="283"/>
              <w:jc w:val="right"/>
              <w:rPr/>
            </w:pPr>
            <w:r>
              <w:rPr/>
              <w:t>8,923,725</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B99C16"/>
            </w:tcBorders>
            <w:shd w:fill="F4F0DC" w:val="clear"/>
            <w:tcMar>
              <w:bottom w:w="28" w:type="dxa"/>
            </w:tcMar>
            <w:vAlign w:val="center"/>
          </w:tcPr>
          <w:p>
            <w:pPr>
              <w:pStyle w:val="TableContents"/>
              <w:bidi w:val="0"/>
              <w:spacing w:before="0" w:after="0"/>
              <w:jc w:val="left"/>
              <w:rPr>
                <w:rFonts w:ascii="arial" w:hAnsi="arial"/>
                <w:sz w:val="18"/>
              </w:rPr>
            </w:pPr>
            <w:r>
              <w:rPr>
                <w:rFonts w:ascii="arial" w:hAnsi="arial"/>
                <w:sz w:val="18"/>
              </w:rPr>
              <w:t>Legacy Nonqualified Deferred Compensation Plan</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00" w:type="dxa"/>
            <w:tcBorders>
              <w:bottom w:val="single" w:sz="8" w:space="0" w:color="B99C16"/>
            </w:tcBorders>
            <w:tcMar>
              <w:bottom w:w="28" w:type="dxa"/>
            </w:tcMar>
            <w:vAlign w:val="center"/>
          </w:tcPr>
          <w:p>
            <w:pPr>
              <w:pStyle w:val="TableContents"/>
              <w:bidi w:val="0"/>
              <w:spacing w:before="0" w:after="283"/>
              <w:jc w:val="left"/>
              <w:rPr/>
            </w:pPr>
            <w:r>
              <w:rPr/>
              <w:t> </w:t>
            </w:r>
          </w:p>
        </w:tc>
        <w:tc>
          <w:tcPr>
            <w:tcW w:w="1345" w:type="dxa"/>
            <w:tcBorders>
              <w:bottom w:val="single" w:sz="8" w:space="0" w:color="B99C16"/>
            </w:tcBorders>
            <w:tcMar>
              <w:bottom w:w="28" w:type="dxa"/>
            </w:tcMar>
            <w:vAlign w:val="center"/>
          </w:tcPr>
          <w:p>
            <w:pPr>
              <w:pStyle w:val="TableContents"/>
              <w:bidi w:val="0"/>
              <w:spacing w:before="0" w:after="283"/>
              <w:jc w:val="right"/>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315" w:type="dxa"/>
            <w:tcBorders>
              <w:bottom w:val="single" w:sz="8" w:space="0" w:color="B99C16"/>
            </w:tcBorders>
            <w:tcMar>
              <w:bottom w:w="28" w:type="dxa"/>
            </w:tcMar>
            <w:vAlign w:val="center"/>
          </w:tcPr>
          <w:p>
            <w:pPr>
              <w:pStyle w:val="TableContents"/>
              <w:bidi w:val="0"/>
              <w:spacing w:before="0" w:after="283"/>
              <w:jc w:val="left"/>
              <w:rPr/>
            </w:pPr>
            <w:r>
              <w:rPr/>
              <w:t> </w:t>
            </w:r>
          </w:p>
        </w:tc>
        <w:tc>
          <w:tcPr>
            <w:tcW w:w="1130" w:type="dxa"/>
            <w:tcBorders>
              <w:bottom w:val="single" w:sz="8" w:space="0" w:color="B99C16"/>
            </w:tcBorders>
            <w:tcMar>
              <w:bottom w:w="28" w:type="dxa"/>
            </w:tcMar>
            <w:vAlign w:val="center"/>
          </w:tcPr>
          <w:p>
            <w:pPr>
              <w:pStyle w:val="TableContents"/>
              <w:bidi w:val="0"/>
              <w:spacing w:before="0" w:after="283"/>
              <w:jc w:val="right"/>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5" w:type="dxa"/>
            <w:tcBorders>
              <w:bottom w:val="single" w:sz="8" w:space="0" w:color="B99C16"/>
            </w:tcBorders>
            <w:tcMar>
              <w:bottom w:w="28" w:type="dxa"/>
            </w:tcMar>
            <w:vAlign w:val="center"/>
          </w:tcPr>
          <w:p>
            <w:pPr>
              <w:pStyle w:val="TableContents"/>
              <w:bidi w:val="0"/>
              <w:spacing w:before="0" w:after="283"/>
              <w:jc w:val="left"/>
              <w:rPr/>
            </w:pPr>
            <w:r>
              <w:rPr/>
              <w:t> </w:t>
            </w:r>
          </w:p>
        </w:tc>
        <w:tc>
          <w:tcPr>
            <w:tcW w:w="1510" w:type="dxa"/>
            <w:tcBorders>
              <w:bottom w:val="single" w:sz="8" w:space="0" w:color="B99C16"/>
            </w:tcBorders>
            <w:tcMar>
              <w:bottom w:w="28" w:type="dxa"/>
            </w:tcMar>
            <w:vAlign w:val="center"/>
          </w:tcPr>
          <w:p>
            <w:pPr>
              <w:pStyle w:val="TableContents"/>
              <w:bidi w:val="0"/>
              <w:spacing w:before="0" w:after="283"/>
              <w:jc w:val="right"/>
              <w:rPr/>
            </w:pPr>
            <w:r>
              <w:rPr/>
              <w:t>-0-</w:t>
            </w:r>
          </w:p>
        </w:tc>
        <w:tc>
          <w:tcPr>
            <w:tcW w:w="155"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364" w:type="dxa"/>
            <w:tcBorders>
              <w:bottom w:val="single" w:sz="8" w:space="0" w:color="B99C16"/>
            </w:tcBorders>
            <w:tcMar>
              <w:bottom w:w="28" w:type="dxa"/>
            </w:tcMar>
            <w:vAlign w:val="center"/>
          </w:tcPr>
          <w:p>
            <w:pPr>
              <w:pStyle w:val="TableContents"/>
              <w:bidi w:val="0"/>
              <w:spacing w:before="0" w:after="283"/>
              <w:jc w:val="left"/>
              <w:rPr/>
            </w:pPr>
            <w:r>
              <w:rPr/>
              <w:t> </w:t>
            </w:r>
          </w:p>
        </w:tc>
        <w:tc>
          <w:tcPr>
            <w:tcW w:w="1306" w:type="dxa"/>
            <w:tcBorders>
              <w:bottom w:val="single" w:sz="8" w:space="0" w:color="B99C16"/>
            </w:tcBorders>
            <w:tcMar>
              <w:bottom w:w="28" w:type="dxa"/>
            </w:tcMar>
            <w:vAlign w:val="center"/>
          </w:tcPr>
          <w:p>
            <w:pPr>
              <w:pStyle w:val="TableContents"/>
              <w:bidi w:val="0"/>
              <w:spacing w:before="0" w:after="283"/>
              <w:jc w:val="right"/>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30" w:type="dxa"/>
            <w:tcBorders>
              <w:bottom w:val="single" w:sz="8" w:space="0" w:color="B99C16"/>
            </w:tcBorders>
            <w:tcMar>
              <w:bottom w:w="28" w:type="dxa"/>
            </w:tcMar>
            <w:vAlign w:val="center"/>
          </w:tcPr>
          <w:p>
            <w:pPr>
              <w:pStyle w:val="TableContents"/>
              <w:bidi w:val="0"/>
              <w:spacing w:before="0" w:after="283"/>
              <w:jc w:val="left"/>
              <w:rPr/>
            </w:pPr>
            <w:r>
              <w:rPr/>
              <w:t> </w:t>
            </w:r>
          </w:p>
        </w:tc>
        <w:tc>
          <w:tcPr>
            <w:tcW w:w="2140" w:type="dxa"/>
            <w:tcBorders>
              <w:bottom w:val="single" w:sz="8" w:space="0" w:color="B99C16"/>
            </w:tcBorders>
            <w:tcMar>
              <w:bottom w:w="28" w:type="dxa"/>
            </w:tcMar>
            <w:vAlign w:val="center"/>
          </w:tcPr>
          <w:p>
            <w:pPr>
              <w:pStyle w:val="TableContents"/>
              <w:bidi w:val="0"/>
              <w:spacing w:before="0" w:after="283"/>
              <w:jc w:val="right"/>
              <w:rPr/>
            </w:pPr>
            <w:r>
              <w:rPr/>
              <w:t>-0-</w:t>
            </w:r>
          </w:p>
        </w:tc>
        <w:tc>
          <w:tcPr>
            <w:tcW w:w="75" w:type="dxa"/>
            <w:tcBorders>
              <w:bottom w:val="single" w:sz="8"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F4F0DC" w:val="clear"/>
            <w:vAlign w:val="center"/>
          </w:tcPr>
          <w:p>
            <w:pPr>
              <w:pStyle w:val="TableContents"/>
              <w:bidi w:val="0"/>
              <w:spacing w:before="0" w:after="0"/>
              <w:jc w:val="left"/>
              <w:rPr>
                <w:rFonts w:ascii="arial" w:hAnsi="arial"/>
                <w:b/>
                <w:color w:val="004876"/>
                <w:sz w:val="18"/>
              </w:rPr>
            </w:pPr>
            <w:r>
              <w:rPr>
                <w:rFonts w:ascii="arial" w:hAnsi="arial"/>
                <w:b/>
                <w:color w:val="004876"/>
                <w:sz w:val="18"/>
              </w:rPr>
              <w:t>William E. Mudd</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0" w:type="dxa"/>
            <w:tcBorders>
              <w:bottom w:val="single" w:sz="6" w:space="0" w:color="B99C16"/>
            </w:tcBorders>
            <w:tcMar>
              <w:bottom w:w="28" w:type="dxa"/>
            </w:tcMar>
            <w:vAlign w:val="center"/>
          </w:tcPr>
          <w:p>
            <w:pPr>
              <w:pStyle w:val="TableContents"/>
              <w:bidi w:val="0"/>
              <w:spacing w:before="0" w:after="283"/>
              <w:jc w:val="left"/>
              <w:rPr/>
            </w:pPr>
            <w:r>
              <w:rPr/>
              <w:t> </w:t>
            </w:r>
          </w:p>
        </w:tc>
        <w:tc>
          <w:tcPr>
            <w:tcW w:w="134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15"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510" w:type="dxa"/>
            <w:tcBorders>
              <w:bottom w:val="single" w:sz="6" w:space="0" w:color="B99C16"/>
            </w:tcBorders>
            <w:tcMar>
              <w:bottom w:w="28" w:type="dxa"/>
            </w:tcMar>
            <w:vAlign w:val="center"/>
          </w:tcPr>
          <w:p>
            <w:pPr>
              <w:pStyle w:val="TableContents"/>
              <w:bidi w:val="0"/>
              <w:spacing w:before="0" w:after="283"/>
              <w:jc w:val="left"/>
              <w:rPr/>
            </w:pPr>
            <w:r>
              <w:rPr/>
              <w:t> </w:t>
            </w:r>
          </w:p>
        </w:tc>
        <w:tc>
          <w:tcPr>
            <w:tcW w:w="15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64" w:type="dxa"/>
            <w:tcBorders>
              <w:bottom w:val="single" w:sz="6" w:space="0" w:color="B99C16"/>
            </w:tcBorders>
            <w:tcMar>
              <w:bottom w:w="28" w:type="dxa"/>
            </w:tcMar>
            <w:vAlign w:val="center"/>
          </w:tcPr>
          <w:p>
            <w:pPr>
              <w:pStyle w:val="TableContents"/>
              <w:bidi w:val="0"/>
              <w:spacing w:before="0" w:after="283"/>
              <w:jc w:val="left"/>
              <w:rPr/>
            </w:pPr>
            <w:r>
              <w:rPr/>
              <w:t> </w:t>
            </w:r>
          </w:p>
        </w:tc>
        <w:tc>
          <w:tcPr>
            <w:tcW w:w="1306"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0" w:type="dxa"/>
            <w:tcBorders>
              <w:bottom w:val="single" w:sz="6" w:space="0" w:color="B99C16"/>
            </w:tcBorders>
            <w:tcMar>
              <w:bottom w:w="28" w:type="dxa"/>
            </w:tcMar>
            <w:vAlign w:val="center"/>
          </w:tcPr>
          <w:p>
            <w:pPr>
              <w:pStyle w:val="TableContents"/>
              <w:bidi w:val="0"/>
              <w:spacing w:before="0" w:after="283"/>
              <w:jc w:val="left"/>
              <w:rPr/>
            </w:pPr>
            <w:r>
              <w:rPr/>
              <w:t> </w:t>
            </w:r>
          </w:p>
        </w:tc>
        <w:tc>
          <w:tcPr>
            <w:tcW w:w="2140" w:type="dxa"/>
            <w:tcBorders>
              <w:bottom w:val="single" w:sz="6" w:space="0" w:color="B99C16"/>
            </w:tcBorders>
            <w:tcMar>
              <w:bottom w:w="28" w:type="dxa"/>
            </w:tcMar>
            <w:vAlign w:val="center"/>
          </w:tcPr>
          <w:p>
            <w:pPr>
              <w:pStyle w:val="TableContents"/>
              <w:bidi w:val="0"/>
              <w:spacing w:before="0" w:after="283"/>
              <w:jc w:val="left"/>
              <w:rPr/>
            </w:pPr>
            <w:r>
              <w:rPr/>
              <w:t> </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F4F0DC" w:val="clear"/>
            <w:vAlign w:val="center"/>
          </w:tcPr>
          <w:p>
            <w:pPr>
              <w:pStyle w:val="TableContents"/>
              <w:bidi w:val="0"/>
              <w:spacing w:before="0" w:after="0"/>
              <w:jc w:val="left"/>
              <w:rPr>
                <w:rFonts w:ascii="arial" w:hAnsi="arial"/>
                <w:sz w:val="18"/>
              </w:rPr>
            </w:pPr>
            <w:r>
              <w:rPr>
                <w:rFonts w:ascii="arial" w:hAnsi="arial"/>
                <w:sz w:val="18"/>
              </w:rPr>
              <w:t>Deferral Plan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0" w:type="dxa"/>
            <w:tcBorders>
              <w:bottom w:val="single" w:sz="6" w:space="0" w:color="B99C16"/>
            </w:tcBorders>
            <w:tcMar>
              <w:bottom w:w="28" w:type="dxa"/>
            </w:tcMar>
            <w:vAlign w:val="center"/>
          </w:tcPr>
          <w:p>
            <w:pPr>
              <w:pStyle w:val="TableContents"/>
              <w:bidi w:val="0"/>
              <w:spacing w:before="0" w:after="283"/>
              <w:jc w:val="left"/>
              <w:rPr/>
            </w:pPr>
            <w:r>
              <w:rPr/>
              <w:t> </w:t>
            </w:r>
          </w:p>
        </w:tc>
        <w:tc>
          <w:tcPr>
            <w:tcW w:w="1345"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15"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510" w:type="dxa"/>
            <w:tcBorders>
              <w:bottom w:val="single" w:sz="6" w:space="0" w:color="B99C16"/>
            </w:tcBorders>
            <w:tcMar>
              <w:bottom w:w="28" w:type="dxa"/>
            </w:tcMar>
            <w:vAlign w:val="center"/>
          </w:tcPr>
          <w:p>
            <w:pPr>
              <w:pStyle w:val="TableContents"/>
              <w:bidi w:val="0"/>
              <w:spacing w:before="0" w:after="283"/>
              <w:jc w:val="right"/>
              <w:rPr/>
            </w:pPr>
            <w:r>
              <w:rPr/>
              <w:t>-0-</w:t>
            </w:r>
          </w:p>
        </w:tc>
        <w:tc>
          <w:tcPr>
            <w:tcW w:w="15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64" w:type="dxa"/>
            <w:tcBorders>
              <w:bottom w:val="single" w:sz="6" w:space="0" w:color="B99C16"/>
            </w:tcBorders>
            <w:tcMar>
              <w:bottom w:w="28" w:type="dxa"/>
            </w:tcMar>
            <w:vAlign w:val="center"/>
          </w:tcPr>
          <w:p>
            <w:pPr>
              <w:pStyle w:val="TableContents"/>
              <w:bidi w:val="0"/>
              <w:spacing w:before="0" w:after="283"/>
              <w:jc w:val="left"/>
              <w:rPr/>
            </w:pPr>
            <w:r>
              <w:rPr/>
              <w:t> </w:t>
            </w:r>
          </w:p>
        </w:tc>
        <w:tc>
          <w:tcPr>
            <w:tcW w:w="1306"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0" w:type="dxa"/>
            <w:tcBorders>
              <w:bottom w:val="single" w:sz="6" w:space="0" w:color="B99C16"/>
            </w:tcBorders>
            <w:tcMar>
              <w:bottom w:w="28" w:type="dxa"/>
            </w:tcMar>
            <w:vAlign w:val="center"/>
          </w:tcPr>
          <w:p>
            <w:pPr>
              <w:pStyle w:val="TableContents"/>
              <w:bidi w:val="0"/>
              <w:spacing w:before="0" w:after="283"/>
              <w:jc w:val="left"/>
              <w:rPr/>
            </w:pPr>
            <w:r>
              <w:rPr/>
              <w:t> </w:t>
            </w:r>
          </w:p>
        </w:tc>
        <w:tc>
          <w:tcPr>
            <w:tcW w:w="2140" w:type="dxa"/>
            <w:tcBorders>
              <w:bottom w:val="single" w:sz="6" w:space="0" w:color="B99C16"/>
            </w:tcBorders>
            <w:tcMar>
              <w:bottom w:w="28" w:type="dxa"/>
            </w:tcMar>
            <w:vAlign w:val="center"/>
          </w:tcPr>
          <w:p>
            <w:pPr>
              <w:pStyle w:val="TableContents"/>
              <w:bidi w:val="0"/>
              <w:spacing w:before="0" w:after="283"/>
              <w:jc w:val="right"/>
              <w:rPr/>
            </w:pPr>
            <w:r>
              <w:rPr/>
              <w:t>-0-</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B99C16"/>
            </w:tcBorders>
            <w:shd w:fill="F4F0DC" w:val="clear"/>
            <w:tcMar>
              <w:bottom w:w="28" w:type="dxa"/>
            </w:tcMar>
            <w:vAlign w:val="center"/>
          </w:tcPr>
          <w:p>
            <w:pPr>
              <w:pStyle w:val="TableContents"/>
              <w:bidi w:val="0"/>
              <w:spacing w:before="0" w:after="0"/>
              <w:jc w:val="left"/>
              <w:rPr>
                <w:rFonts w:ascii="arial" w:hAnsi="arial"/>
                <w:sz w:val="18"/>
              </w:rPr>
            </w:pPr>
            <w:r>
              <w:rPr>
                <w:rFonts w:ascii="arial" w:hAnsi="arial"/>
                <w:sz w:val="18"/>
              </w:rPr>
              <w:t>Legacy Nonqualified Deferred Compensation Plan</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00" w:type="dxa"/>
            <w:tcBorders>
              <w:bottom w:val="single" w:sz="8" w:space="0" w:color="B99C16"/>
            </w:tcBorders>
            <w:tcMar>
              <w:bottom w:w="28" w:type="dxa"/>
            </w:tcMar>
            <w:vAlign w:val="center"/>
          </w:tcPr>
          <w:p>
            <w:pPr>
              <w:pStyle w:val="TableContents"/>
              <w:bidi w:val="0"/>
              <w:spacing w:before="0" w:after="283"/>
              <w:jc w:val="left"/>
              <w:rPr/>
            </w:pPr>
            <w:r>
              <w:rPr/>
              <w:t> </w:t>
            </w:r>
          </w:p>
        </w:tc>
        <w:tc>
          <w:tcPr>
            <w:tcW w:w="1345" w:type="dxa"/>
            <w:tcBorders>
              <w:bottom w:val="single" w:sz="8" w:space="0" w:color="B99C16"/>
            </w:tcBorders>
            <w:tcMar>
              <w:bottom w:w="28" w:type="dxa"/>
            </w:tcMar>
            <w:vAlign w:val="center"/>
          </w:tcPr>
          <w:p>
            <w:pPr>
              <w:pStyle w:val="TableContents"/>
              <w:bidi w:val="0"/>
              <w:spacing w:before="0" w:after="283"/>
              <w:jc w:val="right"/>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315" w:type="dxa"/>
            <w:tcBorders>
              <w:bottom w:val="single" w:sz="8" w:space="0" w:color="B99C16"/>
            </w:tcBorders>
            <w:tcMar>
              <w:bottom w:w="28" w:type="dxa"/>
            </w:tcMar>
            <w:vAlign w:val="center"/>
          </w:tcPr>
          <w:p>
            <w:pPr>
              <w:pStyle w:val="TableContents"/>
              <w:bidi w:val="0"/>
              <w:spacing w:before="0" w:after="283"/>
              <w:jc w:val="left"/>
              <w:rPr/>
            </w:pPr>
            <w:r>
              <w:rPr/>
              <w:t> </w:t>
            </w:r>
          </w:p>
        </w:tc>
        <w:tc>
          <w:tcPr>
            <w:tcW w:w="1130" w:type="dxa"/>
            <w:tcBorders>
              <w:bottom w:val="single" w:sz="8" w:space="0" w:color="B99C16"/>
            </w:tcBorders>
            <w:tcMar>
              <w:bottom w:w="28" w:type="dxa"/>
            </w:tcMar>
            <w:vAlign w:val="center"/>
          </w:tcPr>
          <w:p>
            <w:pPr>
              <w:pStyle w:val="TableContents"/>
              <w:bidi w:val="0"/>
              <w:spacing w:before="0" w:after="283"/>
              <w:jc w:val="right"/>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5" w:type="dxa"/>
            <w:tcBorders>
              <w:bottom w:val="single" w:sz="8" w:space="0" w:color="B99C16"/>
            </w:tcBorders>
            <w:tcMar>
              <w:bottom w:w="28" w:type="dxa"/>
            </w:tcMar>
            <w:vAlign w:val="center"/>
          </w:tcPr>
          <w:p>
            <w:pPr>
              <w:pStyle w:val="TableContents"/>
              <w:bidi w:val="0"/>
              <w:spacing w:before="0" w:after="283"/>
              <w:jc w:val="left"/>
              <w:rPr/>
            </w:pPr>
            <w:r>
              <w:rPr/>
              <w:t> </w:t>
            </w:r>
          </w:p>
        </w:tc>
        <w:tc>
          <w:tcPr>
            <w:tcW w:w="1510" w:type="dxa"/>
            <w:tcBorders>
              <w:bottom w:val="single" w:sz="8" w:space="0" w:color="B99C16"/>
            </w:tcBorders>
            <w:tcMar>
              <w:bottom w:w="28" w:type="dxa"/>
            </w:tcMar>
            <w:vAlign w:val="center"/>
          </w:tcPr>
          <w:p>
            <w:pPr>
              <w:pStyle w:val="TableContents"/>
              <w:bidi w:val="0"/>
              <w:spacing w:before="0" w:after="283"/>
              <w:jc w:val="right"/>
              <w:rPr/>
            </w:pPr>
            <w:r>
              <w:rPr/>
              <w:t>230,155</w:t>
            </w:r>
          </w:p>
        </w:tc>
        <w:tc>
          <w:tcPr>
            <w:tcW w:w="155"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364" w:type="dxa"/>
            <w:tcBorders>
              <w:bottom w:val="single" w:sz="8" w:space="0" w:color="B99C16"/>
            </w:tcBorders>
            <w:tcMar>
              <w:bottom w:w="28" w:type="dxa"/>
            </w:tcMar>
            <w:vAlign w:val="center"/>
          </w:tcPr>
          <w:p>
            <w:pPr>
              <w:pStyle w:val="TableContents"/>
              <w:bidi w:val="0"/>
              <w:spacing w:before="0" w:after="283"/>
              <w:jc w:val="left"/>
              <w:rPr/>
            </w:pPr>
            <w:r>
              <w:rPr/>
              <w:t> </w:t>
            </w:r>
          </w:p>
        </w:tc>
        <w:tc>
          <w:tcPr>
            <w:tcW w:w="1306" w:type="dxa"/>
            <w:tcBorders>
              <w:bottom w:val="single" w:sz="8" w:space="0" w:color="B99C16"/>
            </w:tcBorders>
            <w:tcMar>
              <w:bottom w:w="28" w:type="dxa"/>
            </w:tcMar>
            <w:vAlign w:val="center"/>
          </w:tcPr>
          <w:p>
            <w:pPr>
              <w:pStyle w:val="TableContents"/>
              <w:bidi w:val="0"/>
              <w:spacing w:before="0" w:after="283"/>
              <w:jc w:val="right"/>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30" w:type="dxa"/>
            <w:tcBorders>
              <w:bottom w:val="single" w:sz="8" w:space="0" w:color="B99C16"/>
            </w:tcBorders>
            <w:tcMar>
              <w:bottom w:w="28" w:type="dxa"/>
            </w:tcMar>
            <w:vAlign w:val="center"/>
          </w:tcPr>
          <w:p>
            <w:pPr>
              <w:pStyle w:val="TableContents"/>
              <w:bidi w:val="0"/>
              <w:spacing w:before="0" w:after="283"/>
              <w:jc w:val="left"/>
              <w:rPr/>
            </w:pPr>
            <w:r>
              <w:rPr/>
              <w:t> </w:t>
            </w:r>
          </w:p>
        </w:tc>
        <w:tc>
          <w:tcPr>
            <w:tcW w:w="2140" w:type="dxa"/>
            <w:tcBorders>
              <w:bottom w:val="single" w:sz="8" w:space="0" w:color="B99C16"/>
            </w:tcBorders>
            <w:tcMar>
              <w:bottom w:w="28" w:type="dxa"/>
            </w:tcMar>
            <w:vAlign w:val="center"/>
          </w:tcPr>
          <w:p>
            <w:pPr>
              <w:pStyle w:val="TableContents"/>
              <w:bidi w:val="0"/>
              <w:spacing w:before="0" w:after="283"/>
              <w:jc w:val="right"/>
              <w:rPr/>
            </w:pPr>
            <w:r>
              <w:rPr/>
              <w:t>1,467,792</w:t>
            </w:r>
          </w:p>
        </w:tc>
        <w:tc>
          <w:tcPr>
            <w:tcW w:w="75" w:type="dxa"/>
            <w:tcBorders>
              <w:bottom w:val="single" w:sz="8"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F4F0DC" w:val="clear"/>
            <w:vAlign w:val="center"/>
          </w:tcPr>
          <w:p>
            <w:pPr>
              <w:pStyle w:val="TableContents"/>
              <w:bidi w:val="0"/>
              <w:spacing w:before="0" w:after="0"/>
              <w:jc w:val="left"/>
              <w:rPr>
                <w:rFonts w:ascii="arial" w:hAnsi="arial"/>
                <w:b/>
                <w:color w:val="004876"/>
                <w:sz w:val="18"/>
              </w:rPr>
            </w:pPr>
            <w:r>
              <w:rPr>
                <w:rFonts w:ascii="arial" w:hAnsi="arial"/>
                <w:b/>
                <w:color w:val="004876"/>
                <w:sz w:val="18"/>
              </w:rPr>
              <w:t>Marcia A. Dall</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0" w:type="dxa"/>
            <w:tcBorders>
              <w:bottom w:val="single" w:sz="6" w:space="0" w:color="B99C16"/>
            </w:tcBorders>
            <w:tcMar>
              <w:bottom w:w="28" w:type="dxa"/>
            </w:tcMar>
            <w:vAlign w:val="center"/>
          </w:tcPr>
          <w:p>
            <w:pPr>
              <w:pStyle w:val="TableContents"/>
              <w:bidi w:val="0"/>
              <w:spacing w:before="0" w:after="283"/>
              <w:jc w:val="left"/>
              <w:rPr/>
            </w:pPr>
            <w:r>
              <w:rPr/>
              <w:t> </w:t>
            </w:r>
          </w:p>
        </w:tc>
        <w:tc>
          <w:tcPr>
            <w:tcW w:w="134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15"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510" w:type="dxa"/>
            <w:tcBorders>
              <w:bottom w:val="single" w:sz="6" w:space="0" w:color="B99C16"/>
            </w:tcBorders>
            <w:tcMar>
              <w:bottom w:w="28" w:type="dxa"/>
            </w:tcMar>
            <w:vAlign w:val="center"/>
          </w:tcPr>
          <w:p>
            <w:pPr>
              <w:pStyle w:val="TableContents"/>
              <w:bidi w:val="0"/>
              <w:spacing w:before="0" w:after="283"/>
              <w:jc w:val="left"/>
              <w:rPr/>
            </w:pPr>
            <w:r>
              <w:rPr/>
              <w:t> </w:t>
            </w:r>
          </w:p>
        </w:tc>
        <w:tc>
          <w:tcPr>
            <w:tcW w:w="15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64" w:type="dxa"/>
            <w:tcBorders>
              <w:bottom w:val="single" w:sz="6" w:space="0" w:color="B99C16"/>
            </w:tcBorders>
            <w:tcMar>
              <w:bottom w:w="28" w:type="dxa"/>
            </w:tcMar>
            <w:vAlign w:val="center"/>
          </w:tcPr>
          <w:p>
            <w:pPr>
              <w:pStyle w:val="TableContents"/>
              <w:bidi w:val="0"/>
              <w:spacing w:before="0" w:after="283"/>
              <w:jc w:val="left"/>
              <w:rPr/>
            </w:pPr>
            <w:r>
              <w:rPr/>
              <w:t> </w:t>
            </w:r>
          </w:p>
        </w:tc>
        <w:tc>
          <w:tcPr>
            <w:tcW w:w="1306"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0" w:type="dxa"/>
            <w:tcBorders>
              <w:bottom w:val="single" w:sz="6" w:space="0" w:color="B99C16"/>
            </w:tcBorders>
            <w:tcMar>
              <w:bottom w:w="28" w:type="dxa"/>
            </w:tcMar>
            <w:vAlign w:val="center"/>
          </w:tcPr>
          <w:p>
            <w:pPr>
              <w:pStyle w:val="TableContents"/>
              <w:bidi w:val="0"/>
              <w:spacing w:before="0" w:after="283"/>
              <w:jc w:val="left"/>
              <w:rPr/>
            </w:pPr>
            <w:r>
              <w:rPr/>
              <w:t> </w:t>
            </w:r>
          </w:p>
        </w:tc>
        <w:tc>
          <w:tcPr>
            <w:tcW w:w="2140" w:type="dxa"/>
            <w:tcBorders>
              <w:bottom w:val="single" w:sz="6" w:space="0" w:color="B99C16"/>
            </w:tcBorders>
            <w:tcMar>
              <w:bottom w:w="28" w:type="dxa"/>
            </w:tcMar>
            <w:vAlign w:val="center"/>
          </w:tcPr>
          <w:p>
            <w:pPr>
              <w:pStyle w:val="TableContents"/>
              <w:bidi w:val="0"/>
              <w:spacing w:before="0" w:after="283"/>
              <w:jc w:val="left"/>
              <w:rPr/>
            </w:pPr>
            <w:r>
              <w:rPr/>
              <w:t> </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F4F0DC" w:val="clear"/>
            <w:vAlign w:val="center"/>
          </w:tcPr>
          <w:p>
            <w:pPr>
              <w:pStyle w:val="TableContents"/>
              <w:bidi w:val="0"/>
              <w:spacing w:before="0" w:after="0"/>
              <w:jc w:val="left"/>
              <w:rPr>
                <w:rFonts w:ascii="arial" w:hAnsi="arial"/>
                <w:sz w:val="18"/>
              </w:rPr>
            </w:pPr>
            <w:r>
              <w:rPr>
                <w:rFonts w:ascii="arial" w:hAnsi="arial"/>
                <w:sz w:val="18"/>
              </w:rPr>
              <w:t>Deferral Plan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0" w:type="dxa"/>
            <w:tcBorders>
              <w:bottom w:val="single" w:sz="6" w:space="0" w:color="B99C16"/>
            </w:tcBorders>
            <w:tcMar>
              <w:bottom w:w="28" w:type="dxa"/>
            </w:tcMar>
            <w:vAlign w:val="center"/>
          </w:tcPr>
          <w:p>
            <w:pPr>
              <w:pStyle w:val="TableContents"/>
              <w:bidi w:val="0"/>
              <w:spacing w:before="0" w:after="283"/>
              <w:jc w:val="left"/>
              <w:rPr/>
            </w:pPr>
            <w:r>
              <w:rPr/>
              <w:t> </w:t>
            </w:r>
          </w:p>
        </w:tc>
        <w:tc>
          <w:tcPr>
            <w:tcW w:w="1345" w:type="dxa"/>
            <w:tcBorders>
              <w:bottom w:val="single" w:sz="6" w:space="0" w:color="B99C16"/>
            </w:tcBorders>
            <w:tcMar>
              <w:bottom w:w="28" w:type="dxa"/>
            </w:tcMar>
            <w:vAlign w:val="center"/>
          </w:tcPr>
          <w:p>
            <w:pPr>
              <w:pStyle w:val="TableContents"/>
              <w:bidi w:val="0"/>
              <w:spacing w:before="0" w:after="283"/>
              <w:jc w:val="right"/>
              <w:rPr/>
            </w:pPr>
            <w:r>
              <w:rPr/>
              <w:t>337,699</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15"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510" w:type="dxa"/>
            <w:tcBorders>
              <w:bottom w:val="single" w:sz="6" w:space="0" w:color="B99C16"/>
            </w:tcBorders>
            <w:tcMar>
              <w:bottom w:w="28" w:type="dxa"/>
            </w:tcMar>
            <w:vAlign w:val="center"/>
          </w:tcPr>
          <w:p>
            <w:pPr>
              <w:pStyle w:val="TableContents"/>
              <w:bidi w:val="0"/>
              <w:spacing w:before="0" w:after="283"/>
              <w:jc w:val="right"/>
              <w:rPr/>
            </w:pPr>
            <w:r>
              <w:rPr/>
              <w:t>(152,117</w:t>
            </w:r>
          </w:p>
        </w:tc>
        <w:tc>
          <w:tcPr>
            <w:tcW w:w="15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64" w:type="dxa"/>
            <w:tcBorders>
              <w:bottom w:val="single" w:sz="6" w:space="0" w:color="B99C16"/>
            </w:tcBorders>
            <w:tcMar>
              <w:bottom w:w="28" w:type="dxa"/>
            </w:tcMar>
            <w:vAlign w:val="center"/>
          </w:tcPr>
          <w:p>
            <w:pPr>
              <w:pStyle w:val="TableContents"/>
              <w:bidi w:val="0"/>
              <w:spacing w:before="0" w:after="283"/>
              <w:jc w:val="left"/>
              <w:rPr/>
            </w:pPr>
            <w:r>
              <w:rPr/>
              <w:t> </w:t>
            </w:r>
          </w:p>
        </w:tc>
        <w:tc>
          <w:tcPr>
            <w:tcW w:w="1306"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0" w:type="dxa"/>
            <w:tcBorders>
              <w:bottom w:val="single" w:sz="6" w:space="0" w:color="B99C16"/>
            </w:tcBorders>
            <w:tcMar>
              <w:bottom w:w="28" w:type="dxa"/>
            </w:tcMar>
            <w:vAlign w:val="center"/>
          </w:tcPr>
          <w:p>
            <w:pPr>
              <w:pStyle w:val="TableContents"/>
              <w:bidi w:val="0"/>
              <w:spacing w:before="0" w:after="283"/>
              <w:jc w:val="left"/>
              <w:rPr/>
            </w:pPr>
            <w:r>
              <w:rPr/>
              <w:t> </w:t>
            </w:r>
          </w:p>
        </w:tc>
        <w:tc>
          <w:tcPr>
            <w:tcW w:w="2140" w:type="dxa"/>
            <w:tcBorders>
              <w:bottom w:val="single" w:sz="6" w:space="0" w:color="B99C16"/>
            </w:tcBorders>
            <w:tcMar>
              <w:bottom w:w="28" w:type="dxa"/>
            </w:tcMar>
            <w:vAlign w:val="center"/>
          </w:tcPr>
          <w:p>
            <w:pPr>
              <w:pStyle w:val="TableContents"/>
              <w:bidi w:val="0"/>
              <w:spacing w:before="0" w:after="283"/>
              <w:jc w:val="right"/>
              <w:rPr/>
            </w:pPr>
            <w:r>
              <w:rPr/>
              <w:t>1,232,149</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B99C16"/>
            </w:tcBorders>
            <w:shd w:fill="F4F0DC" w:val="clear"/>
            <w:tcMar>
              <w:bottom w:w="28" w:type="dxa"/>
            </w:tcMar>
            <w:vAlign w:val="center"/>
          </w:tcPr>
          <w:p>
            <w:pPr>
              <w:pStyle w:val="TableContents"/>
              <w:bidi w:val="0"/>
              <w:spacing w:before="0" w:after="0"/>
              <w:jc w:val="left"/>
              <w:rPr>
                <w:rFonts w:ascii="arial" w:hAnsi="arial"/>
                <w:sz w:val="18"/>
              </w:rPr>
            </w:pPr>
            <w:r>
              <w:rPr>
                <w:rFonts w:ascii="arial" w:hAnsi="arial"/>
                <w:sz w:val="18"/>
              </w:rPr>
              <w:t>Legacy Nonqualified Deferred Compensation Plan</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00" w:type="dxa"/>
            <w:tcBorders>
              <w:bottom w:val="single" w:sz="8" w:space="0" w:color="B99C16"/>
            </w:tcBorders>
            <w:tcMar>
              <w:bottom w:w="28" w:type="dxa"/>
            </w:tcMar>
            <w:vAlign w:val="center"/>
          </w:tcPr>
          <w:p>
            <w:pPr>
              <w:pStyle w:val="TableContents"/>
              <w:bidi w:val="0"/>
              <w:spacing w:before="0" w:after="283"/>
              <w:jc w:val="left"/>
              <w:rPr/>
            </w:pPr>
            <w:r>
              <w:rPr/>
              <w:t> </w:t>
            </w:r>
          </w:p>
        </w:tc>
        <w:tc>
          <w:tcPr>
            <w:tcW w:w="1345" w:type="dxa"/>
            <w:tcBorders>
              <w:bottom w:val="single" w:sz="8" w:space="0" w:color="B99C16"/>
            </w:tcBorders>
            <w:tcMar>
              <w:bottom w:w="28" w:type="dxa"/>
            </w:tcMar>
            <w:vAlign w:val="center"/>
          </w:tcPr>
          <w:p>
            <w:pPr>
              <w:pStyle w:val="TableContents"/>
              <w:bidi w:val="0"/>
              <w:spacing w:before="0" w:after="283"/>
              <w:jc w:val="right"/>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315" w:type="dxa"/>
            <w:tcBorders>
              <w:bottom w:val="single" w:sz="8" w:space="0" w:color="B99C16"/>
            </w:tcBorders>
            <w:tcMar>
              <w:bottom w:w="28" w:type="dxa"/>
            </w:tcMar>
            <w:vAlign w:val="center"/>
          </w:tcPr>
          <w:p>
            <w:pPr>
              <w:pStyle w:val="TableContents"/>
              <w:bidi w:val="0"/>
              <w:spacing w:before="0" w:after="283"/>
              <w:jc w:val="left"/>
              <w:rPr/>
            </w:pPr>
            <w:r>
              <w:rPr/>
              <w:t> </w:t>
            </w:r>
          </w:p>
        </w:tc>
        <w:tc>
          <w:tcPr>
            <w:tcW w:w="1130" w:type="dxa"/>
            <w:tcBorders>
              <w:bottom w:val="single" w:sz="8" w:space="0" w:color="B99C16"/>
            </w:tcBorders>
            <w:tcMar>
              <w:bottom w:w="28" w:type="dxa"/>
            </w:tcMar>
            <w:vAlign w:val="center"/>
          </w:tcPr>
          <w:p>
            <w:pPr>
              <w:pStyle w:val="TableContents"/>
              <w:bidi w:val="0"/>
              <w:spacing w:before="0" w:after="283"/>
              <w:jc w:val="right"/>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5" w:type="dxa"/>
            <w:tcBorders>
              <w:bottom w:val="single" w:sz="8" w:space="0" w:color="B99C16"/>
            </w:tcBorders>
            <w:tcMar>
              <w:bottom w:w="28" w:type="dxa"/>
            </w:tcMar>
            <w:vAlign w:val="center"/>
          </w:tcPr>
          <w:p>
            <w:pPr>
              <w:pStyle w:val="TableContents"/>
              <w:bidi w:val="0"/>
              <w:spacing w:before="0" w:after="283"/>
              <w:jc w:val="left"/>
              <w:rPr/>
            </w:pPr>
            <w:r>
              <w:rPr/>
              <w:t> </w:t>
            </w:r>
          </w:p>
        </w:tc>
        <w:tc>
          <w:tcPr>
            <w:tcW w:w="1510" w:type="dxa"/>
            <w:tcBorders>
              <w:bottom w:val="single" w:sz="8" w:space="0" w:color="B99C16"/>
            </w:tcBorders>
            <w:tcMar>
              <w:bottom w:w="28" w:type="dxa"/>
            </w:tcMar>
            <w:vAlign w:val="center"/>
          </w:tcPr>
          <w:p>
            <w:pPr>
              <w:pStyle w:val="TableContents"/>
              <w:bidi w:val="0"/>
              <w:spacing w:before="0" w:after="283"/>
              <w:jc w:val="right"/>
              <w:rPr/>
            </w:pPr>
            <w:r>
              <w:rPr/>
              <w:t>60,590</w:t>
            </w:r>
          </w:p>
        </w:tc>
        <w:tc>
          <w:tcPr>
            <w:tcW w:w="155"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364" w:type="dxa"/>
            <w:tcBorders>
              <w:bottom w:val="single" w:sz="8" w:space="0" w:color="B99C16"/>
            </w:tcBorders>
            <w:tcMar>
              <w:bottom w:w="28" w:type="dxa"/>
            </w:tcMar>
            <w:vAlign w:val="center"/>
          </w:tcPr>
          <w:p>
            <w:pPr>
              <w:pStyle w:val="TableContents"/>
              <w:bidi w:val="0"/>
              <w:spacing w:before="0" w:after="283"/>
              <w:jc w:val="left"/>
              <w:rPr/>
            </w:pPr>
            <w:r>
              <w:rPr/>
              <w:t> </w:t>
            </w:r>
          </w:p>
        </w:tc>
        <w:tc>
          <w:tcPr>
            <w:tcW w:w="1306" w:type="dxa"/>
            <w:tcBorders>
              <w:bottom w:val="single" w:sz="8" w:space="0" w:color="B99C16"/>
            </w:tcBorders>
            <w:tcMar>
              <w:bottom w:w="28" w:type="dxa"/>
            </w:tcMar>
            <w:vAlign w:val="center"/>
          </w:tcPr>
          <w:p>
            <w:pPr>
              <w:pStyle w:val="TableContents"/>
              <w:bidi w:val="0"/>
              <w:spacing w:before="0" w:after="283"/>
              <w:jc w:val="right"/>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30" w:type="dxa"/>
            <w:tcBorders>
              <w:bottom w:val="single" w:sz="8" w:space="0" w:color="B99C16"/>
            </w:tcBorders>
            <w:tcMar>
              <w:bottom w:w="28" w:type="dxa"/>
            </w:tcMar>
            <w:vAlign w:val="center"/>
          </w:tcPr>
          <w:p>
            <w:pPr>
              <w:pStyle w:val="TableContents"/>
              <w:bidi w:val="0"/>
              <w:spacing w:before="0" w:after="283"/>
              <w:jc w:val="left"/>
              <w:rPr/>
            </w:pPr>
            <w:r>
              <w:rPr/>
              <w:t> </w:t>
            </w:r>
          </w:p>
        </w:tc>
        <w:tc>
          <w:tcPr>
            <w:tcW w:w="2140" w:type="dxa"/>
            <w:tcBorders>
              <w:bottom w:val="single" w:sz="8" w:space="0" w:color="B99C16"/>
            </w:tcBorders>
            <w:tcMar>
              <w:bottom w:w="28" w:type="dxa"/>
            </w:tcMar>
            <w:vAlign w:val="center"/>
          </w:tcPr>
          <w:p>
            <w:pPr>
              <w:pStyle w:val="TableContents"/>
              <w:bidi w:val="0"/>
              <w:spacing w:before="0" w:after="283"/>
              <w:jc w:val="right"/>
              <w:rPr/>
            </w:pPr>
            <w:r>
              <w:rPr/>
              <w:t>462,313</w:t>
            </w:r>
          </w:p>
        </w:tc>
        <w:tc>
          <w:tcPr>
            <w:tcW w:w="75" w:type="dxa"/>
            <w:tcBorders>
              <w:bottom w:val="single" w:sz="8"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F4F0DC" w:val="clear"/>
            <w:vAlign w:val="center"/>
          </w:tcPr>
          <w:p>
            <w:pPr>
              <w:pStyle w:val="TableContents"/>
              <w:bidi w:val="0"/>
              <w:spacing w:before="0" w:after="0"/>
              <w:jc w:val="left"/>
              <w:rPr>
                <w:rFonts w:ascii="arial" w:hAnsi="arial"/>
                <w:b/>
                <w:color w:val="004876"/>
                <w:sz w:val="18"/>
              </w:rPr>
            </w:pPr>
            <w:r>
              <w:rPr>
                <w:rFonts w:ascii="arial" w:hAnsi="arial"/>
                <w:b/>
                <w:color w:val="004876"/>
                <w:sz w:val="18"/>
              </w:rPr>
              <w:t>Bradley K. Blackwell</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0" w:type="dxa"/>
            <w:tcBorders>
              <w:bottom w:val="single" w:sz="6" w:space="0" w:color="B99C16"/>
            </w:tcBorders>
            <w:tcMar>
              <w:bottom w:w="28" w:type="dxa"/>
            </w:tcMar>
            <w:vAlign w:val="center"/>
          </w:tcPr>
          <w:p>
            <w:pPr>
              <w:pStyle w:val="TableContents"/>
              <w:bidi w:val="0"/>
              <w:spacing w:before="0" w:after="283"/>
              <w:jc w:val="left"/>
              <w:rPr/>
            </w:pPr>
            <w:r>
              <w:rPr/>
              <w:t> </w:t>
            </w:r>
          </w:p>
        </w:tc>
        <w:tc>
          <w:tcPr>
            <w:tcW w:w="134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15"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510" w:type="dxa"/>
            <w:tcBorders>
              <w:bottom w:val="single" w:sz="6" w:space="0" w:color="B99C16"/>
            </w:tcBorders>
            <w:tcMar>
              <w:bottom w:w="28" w:type="dxa"/>
            </w:tcMar>
            <w:vAlign w:val="center"/>
          </w:tcPr>
          <w:p>
            <w:pPr>
              <w:pStyle w:val="TableContents"/>
              <w:bidi w:val="0"/>
              <w:spacing w:before="0" w:after="283"/>
              <w:jc w:val="left"/>
              <w:rPr/>
            </w:pPr>
            <w:r>
              <w:rPr/>
              <w:t> </w:t>
            </w:r>
          </w:p>
        </w:tc>
        <w:tc>
          <w:tcPr>
            <w:tcW w:w="15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64" w:type="dxa"/>
            <w:tcBorders>
              <w:bottom w:val="single" w:sz="6" w:space="0" w:color="B99C16"/>
            </w:tcBorders>
            <w:tcMar>
              <w:bottom w:w="28" w:type="dxa"/>
            </w:tcMar>
            <w:vAlign w:val="center"/>
          </w:tcPr>
          <w:p>
            <w:pPr>
              <w:pStyle w:val="TableContents"/>
              <w:bidi w:val="0"/>
              <w:spacing w:before="0" w:after="283"/>
              <w:jc w:val="left"/>
              <w:rPr/>
            </w:pPr>
            <w:r>
              <w:rPr/>
              <w:t> </w:t>
            </w:r>
          </w:p>
        </w:tc>
        <w:tc>
          <w:tcPr>
            <w:tcW w:w="1306"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0" w:type="dxa"/>
            <w:tcBorders>
              <w:bottom w:val="single" w:sz="6" w:space="0" w:color="B99C16"/>
            </w:tcBorders>
            <w:tcMar>
              <w:bottom w:w="28" w:type="dxa"/>
            </w:tcMar>
            <w:vAlign w:val="center"/>
          </w:tcPr>
          <w:p>
            <w:pPr>
              <w:pStyle w:val="TableContents"/>
              <w:bidi w:val="0"/>
              <w:spacing w:before="0" w:after="283"/>
              <w:jc w:val="left"/>
              <w:rPr/>
            </w:pPr>
            <w:r>
              <w:rPr/>
              <w:t> </w:t>
            </w:r>
          </w:p>
        </w:tc>
        <w:tc>
          <w:tcPr>
            <w:tcW w:w="2140" w:type="dxa"/>
            <w:tcBorders>
              <w:bottom w:val="single" w:sz="6" w:space="0" w:color="B99C16"/>
            </w:tcBorders>
            <w:tcMar>
              <w:bottom w:w="28" w:type="dxa"/>
            </w:tcMar>
            <w:vAlign w:val="center"/>
          </w:tcPr>
          <w:p>
            <w:pPr>
              <w:pStyle w:val="TableContents"/>
              <w:bidi w:val="0"/>
              <w:spacing w:before="0" w:after="283"/>
              <w:jc w:val="left"/>
              <w:rPr/>
            </w:pPr>
            <w:r>
              <w:rPr/>
              <w:t> </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F4F0DC" w:val="clear"/>
            <w:vAlign w:val="center"/>
          </w:tcPr>
          <w:p>
            <w:pPr>
              <w:pStyle w:val="TableContents"/>
              <w:bidi w:val="0"/>
              <w:spacing w:before="0" w:after="0"/>
              <w:jc w:val="left"/>
              <w:rPr>
                <w:rFonts w:ascii="arial" w:hAnsi="arial"/>
                <w:sz w:val="18"/>
              </w:rPr>
            </w:pPr>
            <w:r>
              <w:rPr>
                <w:rFonts w:ascii="arial" w:hAnsi="arial"/>
                <w:sz w:val="18"/>
              </w:rPr>
              <w:t>Deferral Plan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0" w:type="dxa"/>
            <w:tcBorders>
              <w:bottom w:val="single" w:sz="6" w:space="0" w:color="B99C16"/>
            </w:tcBorders>
            <w:tcMar>
              <w:bottom w:w="28" w:type="dxa"/>
            </w:tcMar>
            <w:vAlign w:val="center"/>
          </w:tcPr>
          <w:p>
            <w:pPr>
              <w:pStyle w:val="TableContents"/>
              <w:bidi w:val="0"/>
              <w:spacing w:before="0" w:after="283"/>
              <w:jc w:val="left"/>
              <w:rPr/>
            </w:pPr>
            <w:r>
              <w:rPr/>
              <w:t> </w:t>
            </w:r>
          </w:p>
        </w:tc>
        <w:tc>
          <w:tcPr>
            <w:tcW w:w="1345"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15"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510" w:type="dxa"/>
            <w:tcBorders>
              <w:bottom w:val="single" w:sz="6" w:space="0" w:color="B99C16"/>
            </w:tcBorders>
            <w:tcMar>
              <w:bottom w:w="28" w:type="dxa"/>
            </w:tcMar>
            <w:vAlign w:val="center"/>
          </w:tcPr>
          <w:p>
            <w:pPr>
              <w:pStyle w:val="TableContents"/>
              <w:bidi w:val="0"/>
              <w:spacing w:before="0" w:after="283"/>
              <w:jc w:val="right"/>
              <w:rPr/>
            </w:pPr>
            <w:r>
              <w:rPr/>
              <w:t>-0-</w:t>
            </w:r>
          </w:p>
        </w:tc>
        <w:tc>
          <w:tcPr>
            <w:tcW w:w="15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64" w:type="dxa"/>
            <w:tcBorders>
              <w:bottom w:val="single" w:sz="6" w:space="0" w:color="B99C16"/>
            </w:tcBorders>
            <w:tcMar>
              <w:bottom w:w="28" w:type="dxa"/>
            </w:tcMar>
            <w:vAlign w:val="center"/>
          </w:tcPr>
          <w:p>
            <w:pPr>
              <w:pStyle w:val="TableContents"/>
              <w:bidi w:val="0"/>
              <w:spacing w:before="0" w:after="283"/>
              <w:jc w:val="left"/>
              <w:rPr/>
            </w:pPr>
            <w:r>
              <w:rPr/>
              <w:t> </w:t>
            </w:r>
          </w:p>
        </w:tc>
        <w:tc>
          <w:tcPr>
            <w:tcW w:w="1306"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0" w:type="dxa"/>
            <w:tcBorders>
              <w:bottom w:val="single" w:sz="6" w:space="0" w:color="B99C16"/>
            </w:tcBorders>
            <w:tcMar>
              <w:bottom w:w="28" w:type="dxa"/>
            </w:tcMar>
            <w:vAlign w:val="center"/>
          </w:tcPr>
          <w:p>
            <w:pPr>
              <w:pStyle w:val="TableContents"/>
              <w:bidi w:val="0"/>
              <w:spacing w:before="0" w:after="283"/>
              <w:jc w:val="left"/>
              <w:rPr/>
            </w:pPr>
            <w:r>
              <w:rPr/>
              <w:t> </w:t>
            </w:r>
          </w:p>
        </w:tc>
        <w:tc>
          <w:tcPr>
            <w:tcW w:w="2140" w:type="dxa"/>
            <w:tcBorders>
              <w:bottom w:val="single" w:sz="6" w:space="0" w:color="B99C16"/>
            </w:tcBorders>
            <w:tcMar>
              <w:bottom w:w="28" w:type="dxa"/>
            </w:tcMar>
            <w:vAlign w:val="center"/>
          </w:tcPr>
          <w:p>
            <w:pPr>
              <w:pStyle w:val="TableContents"/>
              <w:bidi w:val="0"/>
              <w:spacing w:before="0" w:after="283"/>
              <w:jc w:val="right"/>
              <w:rPr/>
            </w:pPr>
            <w:r>
              <w:rPr/>
              <w:t>-0-</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B99C16"/>
            </w:tcBorders>
            <w:shd w:fill="F4F0DC" w:val="clear"/>
            <w:tcMar>
              <w:bottom w:w="28" w:type="dxa"/>
            </w:tcMar>
            <w:vAlign w:val="center"/>
          </w:tcPr>
          <w:p>
            <w:pPr>
              <w:pStyle w:val="TableContents"/>
              <w:bidi w:val="0"/>
              <w:spacing w:before="0" w:after="0"/>
              <w:jc w:val="left"/>
              <w:rPr>
                <w:rFonts w:ascii="arial" w:hAnsi="arial"/>
                <w:sz w:val="18"/>
              </w:rPr>
            </w:pPr>
            <w:r>
              <w:rPr>
                <w:rFonts w:ascii="arial" w:hAnsi="arial"/>
                <w:sz w:val="18"/>
              </w:rPr>
              <w:t>Legacy Nonqualified Deferred Compensation Plan</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00" w:type="dxa"/>
            <w:tcBorders>
              <w:bottom w:val="single" w:sz="8" w:space="0" w:color="B99C16"/>
            </w:tcBorders>
            <w:tcMar>
              <w:bottom w:w="28" w:type="dxa"/>
            </w:tcMar>
            <w:vAlign w:val="center"/>
          </w:tcPr>
          <w:p>
            <w:pPr>
              <w:pStyle w:val="TableContents"/>
              <w:bidi w:val="0"/>
              <w:spacing w:before="0" w:after="283"/>
              <w:jc w:val="left"/>
              <w:rPr/>
            </w:pPr>
            <w:r>
              <w:rPr/>
              <w:t> </w:t>
            </w:r>
          </w:p>
        </w:tc>
        <w:tc>
          <w:tcPr>
            <w:tcW w:w="1345" w:type="dxa"/>
            <w:tcBorders>
              <w:bottom w:val="single" w:sz="8" w:space="0" w:color="B99C16"/>
            </w:tcBorders>
            <w:tcMar>
              <w:bottom w:w="28" w:type="dxa"/>
            </w:tcMar>
            <w:vAlign w:val="center"/>
          </w:tcPr>
          <w:p>
            <w:pPr>
              <w:pStyle w:val="TableContents"/>
              <w:bidi w:val="0"/>
              <w:spacing w:before="0" w:after="283"/>
              <w:jc w:val="right"/>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315" w:type="dxa"/>
            <w:tcBorders>
              <w:bottom w:val="single" w:sz="8" w:space="0" w:color="B99C16"/>
            </w:tcBorders>
            <w:tcMar>
              <w:bottom w:w="28" w:type="dxa"/>
            </w:tcMar>
            <w:vAlign w:val="center"/>
          </w:tcPr>
          <w:p>
            <w:pPr>
              <w:pStyle w:val="TableContents"/>
              <w:bidi w:val="0"/>
              <w:spacing w:before="0" w:after="283"/>
              <w:jc w:val="left"/>
              <w:rPr/>
            </w:pPr>
            <w:r>
              <w:rPr/>
              <w:t> </w:t>
            </w:r>
          </w:p>
        </w:tc>
        <w:tc>
          <w:tcPr>
            <w:tcW w:w="1130" w:type="dxa"/>
            <w:tcBorders>
              <w:bottom w:val="single" w:sz="8" w:space="0" w:color="B99C16"/>
            </w:tcBorders>
            <w:tcMar>
              <w:bottom w:w="28" w:type="dxa"/>
            </w:tcMar>
            <w:vAlign w:val="center"/>
          </w:tcPr>
          <w:p>
            <w:pPr>
              <w:pStyle w:val="TableContents"/>
              <w:bidi w:val="0"/>
              <w:spacing w:before="0" w:after="283"/>
              <w:jc w:val="right"/>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5" w:type="dxa"/>
            <w:tcBorders>
              <w:bottom w:val="single" w:sz="8" w:space="0" w:color="B99C16"/>
            </w:tcBorders>
            <w:tcMar>
              <w:bottom w:w="28" w:type="dxa"/>
            </w:tcMar>
            <w:vAlign w:val="center"/>
          </w:tcPr>
          <w:p>
            <w:pPr>
              <w:pStyle w:val="TableContents"/>
              <w:bidi w:val="0"/>
              <w:spacing w:before="0" w:after="283"/>
              <w:jc w:val="left"/>
              <w:rPr/>
            </w:pPr>
            <w:r>
              <w:rPr/>
              <w:t> </w:t>
            </w:r>
          </w:p>
        </w:tc>
        <w:tc>
          <w:tcPr>
            <w:tcW w:w="1510" w:type="dxa"/>
            <w:tcBorders>
              <w:bottom w:val="single" w:sz="8" w:space="0" w:color="B99C16"/>
            </w:tcBorders>
            <w:tcMar>
              <w:bottom w:w="28" w:type="dxa"/>
            </w:tcMar>
            <w:vAlign w:val="center"/>
          </w:tcPr>
          <w:p>
            <w:pPr>
              <w:pStyle w:val="TableContents"/>
              <w:bidi w:val="0"/>
              <w:spacing w:before="0" w:after="283"/>
              <w:jc w:val="right"/>
              <w:rPr/>
            </w:pPr>
            <w:r>
              <w:rPr/>
              <w:t>16,115</w:t>
            </w:r>
          </w:p>
        </w:tc>
        <w:tc>
          <w:tcPr>
            <w:tcW w:w="155"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364" w:type="dxa"/>
            <w:tcBorders>
              <w:bottom w:val="single" w:sz="8" w:space="0" w:color="B99C16"/>
            </w:tcBorders>
            <w:tcMar>
              <w:bottom w:w="28" w:type="dxa"/>
            </w:tcMar>
            <w:vAlign w:val="center"/>
          </w:tcPr>
          <w:p>
            <w:pPr>
              <w:pStyle w:val="TableContents"/>
              <w:bidi w:val="0"/>
              <w:spacing w:before="0" w:after="283"/>
              <w:jc w:val="left"/>
              <w:rPr/>
            </w:pPr>
            <w:r>
              <w:rPr/>
              <w:t> </w:t>
            </w:r>
          </w:p>
        </w:tc>
        <w:tc>
          <w:tcPr>
            <w:tcW w:w="1306" w:type="dxa"/>
            <w:tcBorders>
              <w:bottom w:val="single" w:sz="8" w:space="0" w:color="B99C16"/>
            </w:tcBorders>
            <w:tcMar>
              <w:bottom w:w="28" w:type="dxa"/>
            </w:tcMar>
            <w:vAlign w:val="center"/>
          </w:tcPr>
          <w:p>
            <w:pPr>
              <w:pStyle w:val="TableContents"/>
              <w:bidi w:val="0"/>
              <w:spacing w:before="0" w:after="283"/>
              <w:jc w:val="right"/>
              <w:rPr/>
            </w:pPr>
            <w:r>
              <w:rPr/>
              <w:t>-0-</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130" w:type="dxa"/>
            <w:tcBorders>
              <w:bottom w:val="single" w:sz="8" w:space="0" w:color="B99C16"/>
            </w:tcBorders>
            <w:tcMar>
              <w:bottom w:w="28" w:type="dxa"/>
            </w:tcMar>
            <w:vAlign w:val="center"/>
          </w:tcPr>
          <w:p>
            <w:pPr>
              <w:pStyle w:val="TableContents"/>
              <w:bidi w:val="0"/>
              <w:spacing w:before="0" w:after="283"/>
              <w:jc w:val="left"/>
              <w:rPr/>
            </w:pPr>
            <w:r>
              <w:rPr/>
              <w:t> </w:t>
            </w:r>
          </w:p>
        </w:tc>
        <w:tc>
          <w:tcPr>
            <w:tcW w:w="2140" w:type="dxa"/>
            <w:tcBorders>
              <w:bottom w:val="single" w:sz="8" w:space="0" w:color="B99C16"/>
            </w:tcBorders>
            <w:tcMar>
              <w:bottom w:w="28" w:type="dxa"/>
            </w:tcMar>
            <w:vAlign w:val="center"/>
          </w:tcPr>
          <w:p>
            <w:pPr>
              <w:pStyle w:val="TableContents"/>
              <w:bidi w:val="0"/>
              <w:spacing w:before="0" w:after="283"/>
              <w:jc w:val="right"/>
              <w:rPr/>
            </w:pPr>
            <w:r>
              <w:rPr/>
              <w:t>127,910</w:t>
            </w:r>
          </w:p>
        </w:tc>
        <w:tc>
          <w:tcPr>
            <w:tcW w:w="75" w:type="dxa"/>
            <w:tcBorders>
              <w:bottom w:val="single" w:sz="8"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F4F0DC" w:val="clear"/>
            <w:vAlign w:val="center"/>
          </w:tcPr>
          <w:p>
            <w:pPr>
              <w:pStyle w:val="TableContents"/>
              <w:bidi w:val="0"/>
              <w:spacing w:before="0" w:after="0"/>
              <w:jc w:val="left"/>
              <w:rPr>
                <w:rFonts w:ascii="arial" w:hAnsi="arial"/>
                <w:b/>
                <w:color w:val="004876"/>
                <w:sz w:val="18"/>
              </w:rPr>
            </w:pPr>
            <w:r>
              <w:rPr>
                <w:rFonts w:ascii="arial" w:hAnsi="arial"/>
                <w:b/>
                <w:color w:val="004876"/>
                <w:sz w:val="18"/>
              </w:rPr>
              <w:t>Maureen Adams</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0" w:type="dxa"/>
            <w:tcBorders>
              <w:bottom w:val="single" w:sz="6" w:space="0" w:color="B99C16"/>
            </w:tcBorders>
            <w:tcMar>
              <w:bottom w:w="28" w:type="dxa"/>
            </w:tcMar>
            <w:vAlign w:val="center"/>
          </w:tcPr>
          <w:p>
            <w:pPr>
              <w:pStyle w:val="TableContents"/>
              <w:bidi w:val="0"/>
              <w:spacing w:before="0" w:after="283"/>
              <w:jc w:val="left"/>
              <w:rPr/>
            </w:pPr>
            <w:r>
              <w:rPr/>
              <w:t> </w:t>
            </w:r>
          </w:p>
        </w:tc>
        <w:tc>
          <w:tcPr>
            <w:tcW w:w="134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15"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510" w:type="dxa"/>
            <w:tcBorders>
              <w:bottom w:val="single" w:sz="6" w:space="0" w:color="B99C16"/>
            </w:tcBorders>
            <w:tcMar>
              <w:bottom w:w="28" w:type="dxa"/>
            </w:tcMar>
            <w:vAlign w:val="center"/>
          </w:tcPr>
          <w:p>
            <w:pPr>
              <w:pStyle w:val="TableContents"/>
              <w:bidi w:val="0"/>
              <w:spacing w:before="0" w:after="283"/>
              <w:jc w:val="left"/>
              <w:rPr/>
            </w:pPr>
            <w:r>
              <w:rPr/>
              <w:t> </w:t>
            </w:r>
          </w:p>
        </w:tc>
        <w:tc>
          <w:tcPr>
            <w:tcW w:w="15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64" w:type="dxa"/>
            <w:tcBorders>
              <w:bottom w:val="single" w:sz="6" w:space="0" w:color="B99C16"/>
            </w:tcBorders>
            <w:tcMar>
              <w:bottom w:w="28" w:type="dxa"/>
            </w:tcMar>
            <w:vAlign w:val="center"/>
          </w:tcPr>
          <w:p>
            <w:pPr>
              <w:pStyle w:val="TableContents"/>
              <w:bidi w:val="0"/>
              <w:spacing w:before="0" w:after="283"/>
              <w:jc w:val="left"/>
              <w:rPr/>
            </w:pPr>
            <w:r>
              <w:rPr/>
              <w:t> </w:t>
            </w:r>
          </w:p>
        </w:tc>
        <w:tc>
          <w:tcPr>
            <w:tcW w:w="1306"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0" w:type="dxa"/>
            <w:tcBorders>
              <w:bottom w:val="single" w:sz="6" w:space="0" w:color="B99C16"/>
            </w:tcBorders>
            <w:tcMar>
              <w:bottom w:w="28" w:type="dxa"/>
            </w:tcMar>
            <w:vAlign w:val="center"/>
          </w:tcPr>
          <w:p>
            <w:pPr>
              <w:pStyle w:val="TableContents"/>
              <w:bidi w:val="0"/>
              <w:spacing w:before="0" w:after="283"/>
              <w:jc w:val="left"/>
              <w:rPr/>
            </w:pPr>
            <w:r>
              <w:rPr/>
              <w:t> </w:t>
            </w:r>
          </w:p>
        </w:tc>
        <w:tc>
          <w:tcPr>
            <w:tcW w:w="2140" w:type="dxa"/>
            <w:tcBorders>
              <w:bottom w:val="single" w:sz="6" w:space="0" w:color="B99C16"/>
            </w:tcBorders>
            <w:tcMar>
              <w:bottom w:w="28" w:type="dxa"/>
            </w:tcMar>
            <w:vAlign w:val="center"/>
          </w:tcPr>
          <w:p>
            <w:pPr>
              <w:pStyle w:val="TableContents"/>
              <w:bidi w:val="0"/>
              <w:spacing w:before="0" w:after="283"/>
              <w:jc w:val="left"/>
              <w:rPr/>
            </w:pPr>
            <w:r>
              <w:rPr/>
              <w:t> </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F4F0DC" w:val="clear"/>
            <w:vAlign w:val="center"/>
          </w:tcPr>
          <w:p>
            <w:pPr>
              <w:pStyle w:val="TableContents"/>
              <w:bidi w:val="0"/>
              <w:spacing w:before="0" w:after="0"/>
              <w:jc w:val="left"/>
              <w:rPr>
                <w:rFonts w:ascii="arial" w:hAnsi="arial"/>
                <w:sz w:val="18"/>
              </w:rPr>
            </w:pPr>
            <w:r>
              <w:rPr>
                <w:rFonts w:ascii="arial" w:hAnsi="arial"/>
                <w:sz w:val="18"/>
              </w:rPr>
              <w:t>Deferral Plan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0" w:type="dxa"/>
            <w:tcBorders>
              <w:bottom w:val="single" w:sz="6" w:space="0" w:color="B99C16"/>
            </w:tcBorders>
            <w:tcMar>
              <w:bottom w:w="28" w:type="dxa"/>
            </w:tcMar>
            <w:vAlign w:val="center"/>
          </w:tcPr>
          <w:p>
            <w:pPr>
              <w:pStyle w:val="TableContents"/>
              <w:bidi w:val="0"/>
              <w:spacing w:before="0" w:after="283"/>
              <w:jc w:val="left"/>
              <w:rPr/>
            </w:pPr>
            <w:r>
              <w:rPr/>
              <w:t> </w:t>
            </w:r>
          </w:p>
        </w:tc>
        <w:tc>
          <w:tcPr>
            <w:tcW w:w="1345"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15"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510" w:type="dxa"/>
            <w:tcBorders>
              <w:bottom w:val="single" w:sz="6" w:space="0" w:color="B99C16"/>
            </w:tcBorders>
            <w:tcMar>
              <w:bottom w:w="28" w:type="dxa"/>
            </w:tcMar>
            <w:vAlign w:val="center"/>
          </w:tcPr>
          <w:p>
            <w:pPr>
              <w:pStyle w:val="TableContents"/>
              <w:bidi w:val="0"/>
              <w:spacing w:before="0" w:after="283"/>
              <w:jc w:val="right"/>
              <w:rPr/>
            </w:pPr>
            <w:r>
              <w:rPr/>
              <w:t>-0-</w:t>
            </w:r>
          </w:p>
        </w:tc>
        <w:tc>
          <w:tcPr>
            <w:tcW w:w="15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64" w:type="dxa"/>
            <w:tcBorders>
              <w:bottom w:val="single" w:sz="6" w:space="0" w:color="B99C16"/>
            </w:tcBorders>
            <w:tcMar>
              <w:bottom w:w="28" w:type="dxa"/>
            </w:tcMar>
            <w:vAlign w:val="center"/>
          </w:tcPr>
          <w:p>
            <w:pPr>
              <w:pStyle w:val="TableContents"/>
              <w:bidi w:val="0"/>
              <w:spacing w:before="0" w:after="283"/>
              <w:jc w:val="left"/>
              <w:rPr/>
            </w:pPr>
            <w:r>
              <w:rPr/>
              <w:t> </w:t>
            </w:r>
          </w:p>
        </w:tc>
        <w:tc>
          <w:tcPr>
            <w:tcW w:w="1306"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0" w:type="dxa"/>
            <w:tcBorders>
              <w:bottom w:val="single" w:sz="6" w:space="0" w:color="B99C16"/>
            </w:tcBorders>
            <w:tcMar>
              <w:bottom w:w="28" w:type="dxa"/>
            </w:tcMar>
            <w:vAlign w:val="center"/>
          </w:tcPr>
          <w:p>
            <w:pPr>
              <w:pStyle w:val="TableContents"/>
              <w:bidi w:val="0"/>
              <w:spacing w:before="0" w:after="283"/>
              <w:jc w:val="left"/>
              <w:rPr/>
            </w:pPr>
            <w:r>
              <w:rPr/>
              <w:t> </w:t>
            </w:r>
          </w:p>
        </w:tc>
        <w:tc>
          <w:tcPr>
            <w:tcW w:w="2140" w:type="dxa"/>
            <w:tcBorders>
              <w:bottom w:val="single" w:sz="6" w:space="0" w:color="B99C16"/>
            </w:tcBorders>
            <w:tcMar>
              <w:bottom w:w="28" w:type="dxa"/>
            </w:tcMar>
            <w:vAlign w:val="center"/>
          </w:tcPr>
          <w:p>
            <w:pPr>
              <w:pStyle w:val="TableContents"/>
              <w:bidi w:val="0"/>
              <w:spacing w:before="0" w:after="283"/>
              <w:jc w:val="right"/>
              <w:rPr/>
            </w:pPr>
            <w:r>
              <w:rPr/>
              <w:t>-0-</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1235" w:type="dxa"/>
            <w:tcBorders/>
            <w:shd w:fill="F4F0DC" w:val="clear"/>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B99C16"/>
            </w:tcBorders>
            <w:shd w:fill="F4F0DC" w:val="clear"/>
            <w:tcMar>
              <w:bottom w:w="28" w:type="dxa"/>
            </w:tcMar>
            <w:vAlign w:val="center"/>
          </w:tcPr>
          <w:p>
            <w:pPr>
              <w:pStyle w:val="TableContents"/>
              <w:bidi w:val="0"/>
              <w:spacing w:before="0" w:after="0"/>
              <w:jc w:val="left"/>
              <w:rPr>
                <w:rFonts w:ascii="arial" w:hAnsi="arial"/>
                <w:sz w:val="18"/>
              </w:rPr>
            </w:pPr>
            <w:r>
              <w:rPr>
                <w:rFonts w:ascii="arial" w:hAnsi="arial"/>
                <w:sz w:val="18"/>
              </w:rPr>
              <w:t>Legacy Nonqualified Deferred Compensation Plan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0" w:type="dxa"/>
            <w:tcBorders>
              <w:bottom w:val="single" w:sz="6" w:space="0" w:color="B99C16"/>
            </w:tcBorders>
            <w:tcMar>
              <w:bottom w:w="28" w:type="dxa"/>
            </w:tcMar>
            <w:vAlign w:val="center"/>
          </w:tcPr>
          <w:p>
            <w:pPr>
              <w:pStyle w:val="TableContents"/>
              <w:bidi w:val="0"/>
              <w:spacing w:before="0" w:after="283"/>
              <w:jc w:val="left"/>
              <w:rPr/>
            </w:pPr>
            <w:r>
              <w:rPr/>
              <w:t> </w:t>
            </w:r>
          </w:p>
        </w:tc>
        <w:tc>
          <w:tcPr>
            <w:tcW w:w="1345"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15" w:type="dxa"/>
            <w:tcBorders>
              <w:bottom w:val="single" w:sz="6" w:space="0" w:color="B99C16"/>
            </w:tcBorders>
            <w:tcMar>
              <w:bottom w:w="28" w:type="dxa"/>
            </w:tcMar>
            <w:vAlign w:val="center"/>
          </w:tcPr>
          <w:p>
            <w:pPr>
              <w:pStyle w:val="TableContents"/>
              <w:bidi w:val="0"/>
              <w:spacing w:before="0" w:after="283"/>
              <w:jc w:val="left"/>
              <w:rPr/>
            </w:pPr>
            <w:r>
              <w:rPr/>
              <w:t> </w:t>
            </w:r>
          </w:p>
        </w:tc>
        <w:tc>
          <w:tcPr>
            <w:tcW w:w="1130"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5" w:type="dxa"/>
            <w:tcBorders>
              <w:bottom w:val="single" w:sz="6" w:space="0" w:color="B99C16"/>
            </w:tcBorders>
            <w:tcMar>
              <w:bottom w:w="28" w:type="dxa"/>
            </w:tcMar>
            <w:vAlign w:val="center"/>
          </w:tcPr>
          <w:p>
            <w:pPr>
              <w:pStyle w:val="TableContents"/>
              <w:bidi w:val="0"/>
              <w:spacing w:before="0" w:after="283"/>
              <w:jc w:val="left"/>
              <w:rPr/>
            </w:pPr>
            <w:r>
              <w:rPr/>
              <w:t> </w:t>
            </w:r>
          </w:p>
        </w:tc>
        <w:tc>
          <w:tcPr>
            <w:tcW w:w="1510" w:type="dxa"/>
            <w:tcBorders>
              <w:bottom w:val="single" w:sz="6" w:space="0" w:color="B99C16"/>
            </w:tcBorders>
            <w:tcMar>
              <w:bottom w:w="28" w:type="dxa"/>
            </w:tcMar>
            <w:vAlign w:val="center"/>
          </w:tcPr>
          <w:p>
            <w:pPr>
              <w:pStyle w:val="TableContents"/>
              <w:bidi w:val="0"/>
              <w:spacing w:before="0" w:after="283"/>
              <w:jc w:val="right"/>
              <w:rPr/>
            </w:pPr>
            <w:r>
              <w:rPr/>
              <w:t>13,511</w:t>
            </w:r>
          </w:p>
        </w:tc>
        <w:tc>
          <w:tcPr>
            <w:tcW w:w="155"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64" w:type="dxa"/>
            <w:tcBorders>
              <w:bottom w:val="single" w:sz="6" w:space="0" w:color="B99C16"/>
            </w:tcBorders>
            <w:tcMar>
              <w:bottom w:w="28" w:type="dxa"/>
            </w:tcMar>
            <w:vAlign w:val="center"/>
          </w:tcPr>
          <w:p>
            <w:pPr>
              <w:pStyle w:val="TableContents"/>
              <w:bidi w:val="0"/>
              <w:spacing w:before="0" w:after="283"/>
              <w:jc w:val="left"/>
              <w:rPr/>
            </w:pPr>
            <w:r>
              <w:rPr/>
              <w:t> </w:t>
            </w:r>
          </w:p>
        </w:tc>
        <w:tc>
          <w:tcPr>
            <w:tcW w:w="1306" w:type="dxa"/>
            <w:tcBorders>
              <w:bottom w:val="single" w:sz="6" w:space="0" w:color="B99C16"/>
            </w:tcBorders>
            <w:tcMar>
              <w:bottom w:w="28" w:type="dxa"/>
            </w:tcMar>
            <w:vAlign w:val="center"/>
          </w:tcPr>
          <w:p>
            <w:pPr>
              <w:pStyle w:val="TableContents"/>
              <w:bidi w:val="0"/>
              <w:spacing w:before="0" w:after="283"/>
              <w:jc w:val="right"/>
              <w:rPr/>
            </w:pPr>
            <w:r>
              <w:rPr/>
              <w:t>-0-</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30" w:type="dxa"/>
            <w:tcBorders>
              <w:bottom w:val="single" w:sz="6" w:space="0" w:color="B99C16"/>
            </w:tcBorders>
            <w:tcMar>
              <w:bottom w:w="28" w:type="dxa"/>
            </w:tcMar>
            <w:vAlign w:val="center"/>
          </w:tcPr>
          <w:p>
            <w:pPr>
              <w:pStyle w:val="TableContents"/>
              <w:bidi w:val="0"/>
              <w:spacing w:before="0" w:after="283"/>
              <w:jc w:val="left"/>
              <w:rPr/>
            </w:pPr>
            <w:r>
              <w:rPr/>
              <w:t> </w:t>
            </w:r>
          </w:p>
        </w:tc>
        <w:tc>
          <w:tcPr>
            <w:tcW w:w="2140" w:type="dxa"/>
            <w:tcBorders>
              <w:bottom w:val="single" w:sz="6" w:space="0" w:color="B99C16"/>
            </w:tcBorders>
            <w:tcMar>
              <w:bottom w:w="28" w:type="dxa"/>
            </w:tcMar>
            <w:vAlign w:val="center"/>
          </w:tcPr>
          <w:p>
            <w:pPr>
              <w:pStyle w:val="TableContents"/>
              <w:bidi w:val="0"/>
              <w:spacing w:before="0" w:after="283"/>
              <w:jc w:val="right"/>
              <w:rPr/>
            </w:pPr>
            <w:r>
              <w:rPr/>
              <w:t>97,104</w:t>
            </w:r>
          </w:p>
        </w:tc>
        <w:tc>
          <w:tcPr>
            <w:tcW w:w="75" w:type="dxa"/>
            <w:tcBorders>
              <w:bottom w:val="single" w:sz="6" w:space="0" w:color="B99C16"/>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left"/>
              <w:rPr>
                <w:rFonts w:ascii="arial" w:hAnsi="arial"/>
                <w:sz w:val="18"/>
              </w:rPr>
            </w:pPr>
            <w:r>
              <w:rPr>
                <w:rFonts w:ascii="arial" w:hAnsi="arial"/>
                <w:sz w:val="18"/>
              </w:rPr>
              <w:t xml:space="preserve">Amounts in this column represent the market value of RSUs which vested on December 31, 2025 but were elected to be deferred under the Deferral Plan. For purposes of this disclosure, market value is determined using the December 31, 2025 closing price of CHDN of $113.78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(2)</w:t>
            </w:r>
          </w:p>
        </w:tc>
        <w:tc>
          <w:tcPr>
            <w:tcW w:w="9910" w:type="dxa"/>
            <w:tcBorders/>
            <w:vAlign w:val="center"/>
          </w:tcPr>
          <w:p>
            <w:pPr>
              <w:pStyle w:val="TableContents"/>
              <w:bidi w:val="0"/>
              <w:spacing w:before="0" w:after="0"/>
              <w:jc w:val="left"/>
              <w:rPr>
                <w:rFonts w:ascii="arial" w:hAnsi="arial"/>
                <w:sz w:val="18"/>
              </w:rPr>
            </w:pPr>
            <w:r>
              <w:rPr>
                <w:rFonts w:ascii="arial" w:hAnsi="arial"/>
                <w:sz w:val="18"/>
              </w:rPr>
              <w:t xml:space="preserve">Of the totals in this column, the following totals have been reported in the Summary Compensation Table for the previous three (3) years: </w:t>
            </w:r>
          </w:p>
        </w:tc>
      </w:tr>
    </w:tbl>
    <w:p>
      <w:pPr>
        <w:pStyle w:val="TextBody"/>
        <w:bidi w:val="0"/>
        <w:spacing w:before="0" w:after="0"/>
        <w:jc w:val="left"/>
        <w:rPr/>
      </w:pPr>
      <w:r>
        <w:rPr/>
        <w:t> </w:t>
      </w:r>
    </w:p>
    <w:tbl>
      <w:tblPr>
        <w:tblW w:w="4670" w:type="dxa"/>
        <w:jc w:val="left"/>
        <w:tblInd w:w="0" w:type="dxa"/>
        <w:tblLayout w:type="fixed"/>
        <w:tblCellMar>
          <w:top w:w="0" w:type="dxa"/>
          <w:left w:w="0" w:type="dxa"/>
          <w:bottom w:w="0" w:type="dxa"/>
          <w:right w:w="0" w:type="dxa"/>
        </w:tblCellMar>
      </w:tblPr>
      <w:tblGrid>
        <w:gridCol w:w="1910"/>
        <w:gridCol w:w="120"/>
        <w:gridCol w:w="60"/>
        <w:gridCol w:w="875"/>
        <w:gridCol w:w="60"/>
        <w:gridCol w:w="120"/>
        <w:gridCol w:w="122"/>
        <w:gridCol w:w="378"/>
        <w:gridCol w:w="60"/>
        <w:gridCol w:w="120"/>
        <w:gridCol w:w="60"/>
        <w:gridCol w:w="710"/>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1115"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680" w:type="dxa"/>
            <w:gridSpan w:val="4"/>
            <w:tcBorders>
              <w:top w:val="single" w:sz="16" w:space="0" w:color="004876"/>
            </w:tcBorders>
            <w:shd w:fill="004876" w:val="clear"/>
            <w:tcMar>
              <w:top w:w="28" w:type="dxa"/>
            </w:tcMar>
            <w:vAlign w:val="center"/>
          </w:tcPr>
          <w:p>
            <w:pPr>
              <w:pStyle w:val="TableContents"/>
              <w:bidi w:val="0"/>
              <w:spacing w:before="0" w:after="283"/>
              <w:jc w:val="left"/>
              <w:rPr/>
            </w:pPr>
            <w:r>
              <w:rPr/>
              <w:t> </w:t>
            </w:r>
          </w:p>
        </w:tc>
        <w:tc>
          <w:tcPr>
            <w:tcW w:w="965" w:type="dxa"/>
            <w:gridSpan w:val="4"/>
            <w:tcBorders>
              <w:top w:val="single" w:sz="16" w:space="0" w:color="004876"/>
              <w:right w:val="single" w:sz="6" w:space="0" w:color="004876"/>
            </w:tcBorders>
            <w:shd w:fill="004876" w:val="clear"/>
            <w:tcMar>
              <w:top w:w="28" w:type="dxa"/>
              <w:right w:w="28" w:type="dxa"/>
            </w:tcMar>
            <w:vAlign w:val="center"/>
          </w:tcPr>
          <w:p>
            <w:pPr>
              <w:pStyle w:val="TableContents"/>
              <w:bidi w:val="0"/>
              <w:spacing w:before="0" w:after="283"/>
              <w:jc w:val="left"/>
              <w:rPr/>
            </w:pPr>
            <w:r>
              <w:rPr/>
              <w:t> </w:t>
            </w:r>
          </w:p>
        </w:tc>
      </w:tr>
      <w:tr>
        <w:trPr/>
        <w:tc>
          <w:tcPr>
            <w:tcW w:w="1910" w:type="dxa"/>
            <w:tcBorders>
              <w:bottom w:val="single" w:sz="16" w:space="0" w:color="004876"/>
            </w:tcBorders>
            <w:shd w:fill="004876" w:val="clear"/>
            <w:tcMar>
              <w:bottom w:w="12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935"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2023</w:t>
              <w:br/>
              <w:t>($)</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500" w:type="dxa"/>
            <w:gridSpan w:val="2"/>
            <w:tcBorders>
              <w:bottom w:val="single" w:sz="1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2024</w:t>
              <w:br/>
              <w:t>($)</w:t>
            </w:r>
          </w:p>
        </w:tc>
        <w:tc>
          <w:tcPr>
            <w:tcW w:w="6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770" w:type="dxa"/>
            <w:gridSpan w:val="2"/>
            <w:tcBorders>
              <w:bottom w:val="single" w:sz="1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2025</w:t>
            </w:r>
          </w:p>
          <w:p>
            <w:pPr>
              <w:pStyle w:val="TableContents"/>
              <w:bidi w:val="0"/>
              <w:spacing w:before="0" w:after="20"/>
              <w:jc w:val="center"/>
              <w:rPr>
                <w:rFonts w:ascii="arial" w:hAnsi="arial"/>
                <w:b/>
                <w:color w:val="FFFFFF"/>
                <w:sz w:val="16"/>
              </w:rPr>
            </w:pPr>
            <w:r>
              <w:rPr>
                <w:rFonts w:ascii="arial" w:hAnsi="arial"/>
                <w:b/>
                <w:color w:val="FFFFFF"/>
                <w:sz w:val="16"/>
              </w:rPr>
              <w:t>($)(1)</w:t>
            </w:r>
          </w:p>
        </w:tc>
        <w:tc>
          <w:tcPr>
            <w:tcW w:w="75" w:type="dxa"/>
            <w:tcBorders>
              <w:bottom w:val="single" w:sz="16" w:space="0" w:color="004876"/>
              <w:right w:val="single" w:sz="6" w:space="0" w:color="004876"/>
            </w:tcBorders>
            <w:shd w:fill="004876" w:val="clear"/>
            <w:tcMar>
              <w:bottom w:w="28" w:type="dxa"/>
              <w:right w:w="40" w:type="dxa"/>
            </w:tcMar>
            <w:vAlign w:val="center"/>
          </w:tcPr>
          <w:p>
            <w:pPr>
              <w:pStyle w:val="TableContents"/>
              <w:bidi w:val="0"/>
              <w:spacing w:before="0" w:after="283"/>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William C. Carstanjen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1,358,161</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37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71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887,825</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William E. Mudd</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37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71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Marcia A. Dall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37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71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337,699</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Bradley K. Blackwell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37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71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r>
        <w:trPr/>
        <w:tc>
          <w:tcPr>
            <w:tcW w:w="1910" w:type="dxa"/>
            <w:tcBorders/>
            <w:shd w:fill="F4F0DC" w:val="clear"/>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B99C16"/>
            </w:tcBorders>
            <w:shd w:fill="F4F0DC" w:val="clear"/>
            <w:tcMar>
              <w:bottom w:w="120" w:type="dxa"/>
            </w:tcMar>
            <w:vAlign w:val="center"/>
          </w:tcPr>
          <w:p>
            <w:pPr>
              <w:pStyle w:val="TableContents"/>
              <w:bidi w:val="0"/>
              <w:spacing w:lineRule="atLeast" w:line="320" w:before="0" w:after="0"/>
              <w:jc w:val="left"/>
              <w:rPr>
                <w:rFonts w:ascii="arial" w:hAnsi="arial"/>
                <w:sz w:val="20"/>
              </w:rPr>
            </w:pPr>
            <w:r>
              <w:rPr>
                <w:rFonts w:ascii="arial" w:hAnsi="arial"/>
                <w:sz w:val="20"/>
              </w:rPr>
              <w:t>Maureen Adams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875"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2"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378"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c>
          <w:tcPr>
            <w:tcW w:w="710" w:type="dxa"/>
            <w:tcBorders>
              <w:bottom w:val="single" w:sz="6" w:space="0" w:color="B99C16"/>
            </w:tcBorders>
            <w:tcMar>
              <w:bottom w:w="120" w:type="dxa"/>
            </w:tcMar>
            <w:vAlign w:val="center"/>
          </w:tcPr>
          <w:p>
            <w:pPr>
              <w:pStyle w:val="TableContents"/>
              <w:bidi w:val="0"/>
              <w:spacing w:lineRule="atLeast" w:line="320" w:before="0" w:after="0"/>
              <w:jc w:val="right"/>
              <w:rPr>
                <w:rFonts w:ascii="arial" w:hAnsi="arial"/>
                <w:sz w:val="20"/>
              </w:rPr>
            </w:pPr>
            <w:r>
              <w:rPr>
                <w:rFonts w:ascii="arial" w:hAnsi="arial"/>
                <w:sz w:val="20"/>
              </w:rPr>
              <w:t>-0-</w:t>
            </w:r>
          </w:p>
        </w:tc>
        <w:tc>
          <w:tcPr>
            <w:tcW w:w="75" w:type="dxa"/>
            <w:tcBorders>
              <w:bottom w:val="single" w:sz="6" w:space="0" w:color="B99C16"/>
            </w:tcBorders>
            <w:tcMar>
              <w:bottom w:w="120" w:type="dxa"/>
            </w:tcMar>
            <w:vAlign w:val="center"/>
          </w:tcPr>
          <w:p>
            <w:pPr>
              <w:pStyle w:val="TableContents"/>
              <w:bidi w:val="0"/>
              <w:spacing w:lineRule="atLeast" w:line="32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rFonts w:ascii="arial" w:hAnsi="arial"/>
                <w:sz w:val="20"/>
              </w:rPr>
            </w:pPr>
            <w:r>
              <w:rPr>
                <w:rFonts w:ascii="arial" w:hAnsi="arial"/>
                <w:sz w:val="20"/>
              </w:rPr>
              <w:t xml:space="preserve">Amounts in this column represent the market value of RSUs which vested on December 31, 2025 but were elected to be deferred under the Deferral Plan. For purposes of this disclosure, market value is determined using the December 31, 2025 closing price of CHDN of $113.78 per share.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8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6" descr=""/>
                          <pic:cNvPicPr>
                            <a:picLocks noChangeAspect="1" noChangeArrowheads="1"/>
                          </pic:cNvPicPr>
                        </pic:nvPicPr>
                        <pic:blipFill>
                          <a:blip r:embed="rId87"/>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47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Nonqualified Deferred Compensation for Fiscal Year Ended December 31, 2025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Under the Deferral Plan, an account has been established and maintained for each participant, and each participant’s account has been credited with all RSUs and any applicable dividend equivalents allocated to such participant. In December 2024, the Deferral Plan was amended and restated in order to permit participants approved by the Committee to elect to have their earnings on their balances under the plan be calculated based on deemed investment allocations other than notional investments in Company common stock. A participant’s account under the Deferral Plan will be settled on the earlier of: (i) the participant’s separation from service with the Company or (ii) the date fixed in such participant’s plan participation agreement. </w:t>
      </w:r>
    </w:p>
    <w:p>
      <w:pPr>
        <w:pStyle w:val="TextBody"/>
        <w:bidi w:val="0"/>
        <w:spacing w:before="240" w:after="0"/>
        <w:jc w:val="left"/>
        <w:rPr>
          <w:rFonts w:ascii="arial" w:hAnsi="arial"/>
          <w:sz w:val="20"/>
        </w:rPr>
      </w:pPr>
      <w:r>
        <w:rPr>
          <w:rFonts w:ascii="arial" w:hAnsi="arial"/>
          <w:sz w:val="20"/>
        </w:rPr>
        <w:t xml:space="preserve">The Nonqualified Deferred Compensation table above shows information about the Company’s legacy nonqualified deferred compensation plan. In December 2019, this plan was frozen with respect to future contributions. Participants can elect to receive their deferred compensation balance (i) upon termination of employment through a lump sum payment or (ii) while employed by the Company provided that the initial distribution date is at least five years from the initial participation date, in which case distributions may be made on a monthly basis or in a lump sum.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48</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8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7" descr=""/>
                          <pic:cNvPicPr>
                            <a:picLocks noChangeAspect="1" noChangeArrowheads="1"/>
                          </pic:cNvPicPr>
                        </pic:nvPicPr>
                        <pic:blipFill>
                          <a:blip r:embed="rId88"/>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Potential Payments Upon Termination or Change of Control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70" w:name="toc123994_60"/>
            <w:bookmarkEnd w:id="70"/>
            <w:r>
              <w:rPr>
                <w:rFonts w:ascii="arial" w:hAnsi="arial"/>
                <w:b/>
                <w:color w:val="004876"/>
                <w:sz w:val="48"/>
              </w:rPr>
              <w:t>POTENTIAL PAYMENTS UPON TERMINATION OR CHANGE OF CONTROL</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The Company has entered into certain agreements and maintains certain plans that will require the Company to provide compensation to the NEOs in the event of a termination of employment. None of our compensation arrangements with our NEOs provide for single trigger vesting or severance benefit upon a change in control (“CIC”) of the Company without a related or subsequent qualifying termination of employment. The amount of compensation payable to each continuing NEO in each situation as of December 31, 2025 is listed in the table below. Ms. Adams is excluded from the table below as she retired effective December 31, 2025. Please see below for a description of the payments and benefits received by Ms. Adams in connection with her retirement.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82"/>
        <w:gridCol w:w="120"/>
        <w:gridCol w:w="63"/>
        <w:gridCol w:w="1172"/>
        <w:gridCol w:w="330"/>
        <w:gridCol w:w="60"/>
        <w:gridCol w:w="80"/>
        <w:gridCol w:w="1470"/>
        <w:gridCol w:w="330"/>
        <w:gridCol w:w="60"/>
        <w:gridCol w:w="91"/>
        <w:gridCol w:w="1669"/>
        <w:gridCol w:w="78"/>
      </w:tblGrid>
      <w:tr>
        <w:trPr/>
        <w:tc>
          <w:tcPr>
            <w:tcW w:w="46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4682" w:type="dxa"/>
            <w:tcBorders/>
            <w:shd w:fill="004876" w:val="clear"/>
            <w:vAlign w:val="center"/>
          </w:tcPr>
          <w:p>
            <w:pPr>
              <w:pStyle w:val="TableContents"/>
              <w:bidi w:val="0"/>
              <w:spacing w:before="0" w:after="283"/>
              <w:jc w:val="left"/>
              <w:rPr>
                <w:sz w:val="4"/>
                <w:szCs w:val="4"/>
              </w:rPr>
            </w:pPr>
            <w:r>
              <w:rPr>
                <w:sz w:val="4"/>
                <w:szCs w:val="4"/>
              </w:rPr>
            </w:r>
          </w:p>
        </w:tc>
        <w:tc>
          <w:tcPr>
            <w:tcW w:w="1685" w:type="dxa"/>
            <w:gridSpan w:val="4"/>
            <w:tcBorders/>
            <w:shd w:fill="004876" w:val="clear"/>
            <w:vAlign w:val="center"/>
          </w:tcPr>
          <w:p>
            <w:pPr>
              <w:pStyle w:val="TableContents"/>
              <w:bidi w:val="0"/>
              <w:spacing w:before="0" w:after="283"/>
              <w:jc w:val="left"/>
              <w:rPr>
                <w:sz w:val="4"/>
                <w:szCs w:val="4"/>
              </w:rPr>
            </w:pPr>
            <w:r>
              <w:rPr>
                <w:sz w:val="4"/>
                <w:szCs w:val="4"/>
              </w:rPr>
            </w:r>
          </w:p>
        </w:tc>
        <w:tc>
          <w:tcPr>
            <w:tcW w:w="1940" w:type="dxa"/>
            <w:gridSpan w:val="4"/>
            <w:tcBorders/>
            <w:shd w:fill="004876" w:val="clear"/>
            <w:vAlign w:val="center"/>
          </w:tcPr>
          <w:p>
            <w:pPr>
              <w:pStyle w:val="TableContents"/>
              <w:bidi w:val="0"/>
              <w:spacing w:before="0" w:after="283"/>
              <w:jc w:val="left"/>
              <w:rPr>
                <w:sz w:val="4"/>
                <w:szCs w:val="4"/>
              </w:rPr>
            </w:pPr>
            <w:r>
              <w:rPr>
                <w:sz w:val="4"/>
                <w:szCs w:val="4"/>
              </w:rPr>
            </w:r>
          </w:p>
        </w:tc>
        <w:tc>
          <w:tcPr>
            <w:tcW w:w="1898" w:type="dxa"/>
            <w:gridSpan w:val="4"/>
            <w:tcBorders/>
            <w:shd w:fill="004876" w:val="clear"/>
            <w:vAlign w:val="center"/>
          </w:tcPr>
          <w:p>
            <w:pPr>
              <w:pStyle w:val="TableContents"/>
              <w:bidi w:val="0"/>
              <w:spacing w:before="0" w:after="283"/>
              <w:jc w:val="left"/>
              <w:rPr>
                <w:sz w:val="4"/>
                <w:szCs w:val="4"/>
              </w:rPr>
            </w:pPr>
            <w:r>
              <w:rPr>
                <w:sz w:val="4"/>
                <w:szCs w:val="4"/>
              </w:rPr>
            </w:r>
          </w:p>
        </w:tc>
      </w:tr>
      <w:tr>
        <w:trPr/>
        <w:tc>
          <w:tcPr>
            <w:tcW w:w="4682" w:type="dxa"/>
            <w:tcBorders/>
            <w:shd w:fill="004876" w:val="clear"/>
            <w:vAlign w:val="center"/>
          </w:tcPr>
          <w:p>
            <w:pPr>
              <w:pStyle w:val="TableContents"/>
              <w:bidi w:val="0"/>
              <w:spacing w:before="0" w:after="283"/>
              <w:jc w:val="left"/>
              <w:rPr>
                <w:color w:val="FFFFFF"/>
              </w:rPr>
            </w:pPr>
            <w:r>
              <w:rPr>
                <w:color w:val="FFFFFF"/>
              </w:rPr>
              <w:t> </w:t>
            </w:r>
            <w:r>
              <w:rPr>
                <w:b/>
                <w:color w:val="FFFFFF"/>
              </w:rPr>
              <w:t>Name</w:t>
            </w:r>
          </w:p>
        </w:tc>
        <w:tc>
          <w:tcPr>
            <w:tcW w:w="120" w:type="dxa"/>
            <w:tcBorders/>
            <w:shd w:fill="004876" w:val="clear"/>
            <w:vAlign w:val="center"/>
          </w:tcPr>
          <w:p>
            <w:pPr>
              <w:pStyle w:val="TableContents"/>
              <w:bidi w:val="0"/>
              <w:spacing w:before="0" w:after="283"/>
              <w:jc w:val="left"/>
              <w:rPr/>
            </w:pPr>
            <w:r>
              <w:rPr/>
              <w:t>  </w:t>
            </w:r>
          </w:p>
        </w:tc>
        <w:tc>
          <w:tcPr>
            <w:tcW w:w="1235" w:type="dxa"/>
            <w:gridSpan w:val="2"/>
            <w:tcBorders/>
            <w:shd w:fill="004876" w:val="clear"/>
            <w:vAlign w:val="center"/>
          </w:tcPr>
          <w:p>
            <w:pPr>
              <w:pStyle w:val="TableContents"/>
              <w:bidi w:val="0"/>
              <w:spacing w:before="0" w:after="283"/>
              <w:jc w:val="center"/>
              <w:rPr>
                <w:b/>
                <w:color w:val="FFFFFF"/>
              </w:rPr>
            </w:pPr>
            <w:r>
              <w:rPr>
                <w:b/>
                <w:color w:val="FFFFFF"/>
              </w:rPr>
              <w:t>Cash</w:t>
              <w:br/>
              <w:t>Severance</w:t>
              <w:br/>
              <w:t>Payment ($)</w:t>
            </w:r>
          </w:p>
        </w:tc>
        <w:tc>
          <w:tcPr>
            <w:tcW w:w="330" w:type="dxa"/>
            <w:tcBorders/>
            <w:shd w:fill="004876" w:val="clear"/>
            <w:vAlign w:val="center"/>
          </w:tcPr>
          <w:p>
            <w:pPr>
              <w:pStyle w:val="TableContents"/>
              <w:bidi w:val="0"/>
              <w:spacing w:before="0" w:after="283"/>
              <w:jc w:val="left"/>
              <w:rPr/>
            </w:pPr>
            <w:r>
              <w:rPr/>
              <w:t> </w:t>
            </w:r>
          </w:p>
        </w:tc>
        <w:tc>
          <w:tcPr>
            <w:tcW w:w="60" w:type="dxa"/>
            <w:tcBorders/>
            <w:shd w:fill="004876" w:val="clear"/>
            <w:vAlign w:val="center"/>
          </w:tcPr>
          <w:p>
            <w:pPr>
              <w:pStyle w:val="TableContents"/>
              <w:bidi w:val="0"/>
              <w:spacing w:before="0" w:after="283"/>
              <w:jc w:val="left"/>
              <w:rPr/>
            </w:pPr>
            <w:r>
              <w:rPr/>
              <w:t> </w:t>
            </w:r>
          </w:p>
        </w:tc>
        <w:tc>
          <w:tcPr>
            <w:tcW w:w="1550" w:type="dxa"/>
            <w:gridSpan w:val="2"/>
            <w:tcBorders/>
            <w:shd w:fill="004876" w:val="clear"/>
            <w:vAlign w:val="center"/>
          </w:tcPr>
          <w:p>
            <w:pPr>
              <w:pStyle w:val="TableContents"/>
              <w:bidi w:val="0"/>
              <w:spacing w:before="0" w:after="283"/>
              <w:jc w:val="center"/>
              <w:rPr>
                <w:b/>
                <w:color w:val="FFFFFF"/>
              </w:rPr>
            </w:pPr>
            <w:r>
              <w:rPr>
                <w:b/>
                <w:color w:val="FFFFFF"/>
              </w:rPr>
              <w:t>Acceleration &amp;</w:t>
              <w:br/>
              <w:t>Continuation</w:t>
              <w:br/>
              <w:t>of Equity</w:t>
              <w:br/>
              <w:t>Awards ($)(1)</w:t>
            </w:r>
          </w:p>
        </w:tc>
        <w:tc>
          <w:tcPr>
            <w:tcW w:w="330" w:type="dxa"/>
            <w:tcBorders/>
            <w:shd w:fill="004876" w:val="clear"/>
            <w:vAlign w:val="center"/>
          </w:tcPr>
          <w:p>
            <w:pPr>
              <w:pStyle w:val="TableContents"/>
              <w:bidi w:val="0"/>
              <w:spacing w:before="0" w:after="283"/>
              <w:jc w:val="left"/>
              <w:rPr/>
            </w:pPr>
            <w:r>
              <w:rPr/>
              <w:t> </w:t>
            </w:r>
          </w:p>
        </w:tc>
        <w:tc>
          <w:tcPr>
            <w:tcW w:w="60" w:type="dxa"/>
            <w:tcBorders/>
            <w:shd w:fill="004876" w:val="clear"/>
            <w:vAlign w:val="center"/>
          </w:tcPr>
          <w:p>
            <w:pPr>
              <w:pStyle w:val="TableContents"/>
              <w:bidi w:val="0"/>
              <w:spacing w:before="0" w:after="283"/>
              <w:jc w:val="left"/>
              <w:rPr/>
            </w:pPr>
            <w:r>
              <w:rPr/>
              <w:t> </w:t>
            </w:r>
          </w:p>
        </w:tc>
        <w:tc>
          <w:tcPr>
            <w:tcW w:w="1760" w:type="dxa"/>
            <w:gridSpan w:val="2"/>
            <w:tcBorders/>
            <w:shd w:fill="004876" w:val="clear"/>
            <w:vAlign w:val="center"/>
          </w:tcPr>
          <w:p>
            <w:pPr>
              <w:pStyle w:val="TableContents"/>
              <w:bidi w:val="0"/>
              <w:spacing w:before="0" w:after="283"/>
              <w:jc w:val="center"/>
              <w:rPr>
                <w:b/>
                <w:color w:val="FFFFFF"/>
              </w:rPr>
            </w:pPr>
            <w:r>
              <w:rPr>
                <w:b/>
                <w:color w:val="FFFFFF"/>
              </w:rPr>
              <w:t>Total Benefits ($)</w:t>
            </w:r>
          </w:p>
        </w:tc>
        <w:tc>
          <w:tcPr>
            <w:tcW w:w="78" w:type="dxa"/>
            <w:tcBorders/>
            <w:shd w:fill="004876" w:val="cle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rFonts w:ascii="arial" w:hAnsi="arial"/>
                <w:b/>
                <w:color w:val="004876"/>
                <w:sz w:val="18"/>
              </w:rPr>
            </w:pPr>
            <w:r>
              <w:rPr>
                <w:rFonts w:ascii="arial" w:hAnsi="arial"/>
                <w:b/>
                <w:color w:val="004876"/>
                <w:sz w:val="18"/>
              </w:rPr>
              <w:t>William C. Carstanjen</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pPr>
            <w:r>
              <w:rPr/>
              <w:t> </w:t>
            </w:r>
            <w:r>
              <w:rPr>
                <w:rFonts w:ascii="arial" w:hAnsi="arial"/>
                <w:sz w:val="18"/>
              </w:rPr>
              <w:t>Involuntary or good reason termination</w:t>
            </w:r>
          </w:p>
        </w:tc>
        <w:tc>
          <w:tcPr>
            <w:tcW w:w="120" w:type="dxa"/>
            <w:tcBorders>
              <w:bottom w:val="single" w:sz="6" w:space="0" w:color="DCCD8A"/>
            </w:tcBorders>
            <w:tcMar>
              <w:bottom w:w="28" w:type="dxa"/>
            </w:tcMar>
            <w:vAlign w:val="center"/>
          </w:tcPr>
          <w:p>
            <w:pPr>
              <w:pStyle w:val="TableContents"/>
              <w:bidi w:val="0"/>
              <w:spacing w:before="0" w:after="283"/>
              <w:jc w:val="left"/>
              <w:rPr/>
            </w:pPr>
            <w:r>
              <w:rPr/>
              <w:t>  </w:t>
            </w:r>
          </w:p>
        </w:tc>
        <w:tc>
          <w:tcPr>
            <w:tcW w:w="63" w:type="dxa"/>
            <w:tcBorders>
              <w:bottom w:val="single" w:sz="6" w:space="0" w:color="DCCD8A"/>
            </w:tcBorders>
            <w:tcMar>
              <w:bottom w:w="80" w:type="dxa"/>
            </w:tcMar>
            <w:vAlign w:val="center"/>
          </w:tcPr>
          <w:p>
            <w:pPr>
              <w:pStyle w:val="TableContents"/>
              <w:bidi w:val="0"/>
              <w:spacing w:before="0" w:after="283"/>
              <w:jc w:val="left"/>
              <w:rPr/>
            </w:pPr>
            <w:r>
              <w:rPr/>
              <w:t> </w:t>
            </w:r>
          </w:p>
        </w:tc>
        <w:tc>
          <w:tcPr>
            <w:tcW w:w="1172" w:type="dxa"/>
            <w:tcBorders>
              <w:bottom w:val="single" w:sz="6" w:space="0" w:color="DCCD8A"/>
            </w:tcBorders>
            <w:tcMar>
              <w:bottom w:w="80" w:type="dxa"/>
            </w:tcMar>
            <w:vAlign w:val="center"/>
          </w:tcPr>
          <w:p>
            <w:pPr>
              <w:pStyle w:val="TableContents"/>
              <w:bidi w:val="0"/>
              <w:spacing w:before="0" w:after="283"/>
              <w:jc w:val="right"/>
              <w:rPr/>
            </w:pPr>
            <w:r>
              <w:rPr/>
              <w:t>17,109,770</w:t>
            </w:r>
          </w:p>
        </w:tc>
        <w:tc>
          <w:tcPr>
            <w:tcW w:w="330" w:type="dxa"/>
            <w:tcBorders>
              <w:bottom w:val="single" w:sz="6" w:space="0" w:color="DCCD8A"/>
            </w:tcBorders>
            <w:tcMar>
              <w:bottom w:w="80" w:type="dxa"/>
            </w:tcMar>
            <w:vAlign w:val="center"/>
          </w:tcPr>
          <w:p>
            <w:pPr>
              <w:pStyle w:val="TableContents"/>
              <w:bidi w:val="0"/>
              <w:spacing w:before="0" w:after="283"/>
              <w:jc w:val="left"/>
              <w:rPr/>
            </w:pPr>
            <w:r>
              <w:rPr/>
              <w:t>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80" w:type="dxa"/>
            <w:tcBorders>
              <w:bottom w:val="single" w:sz="6" w:space="0" w:color="DCCD8A"/>
            </w:tcBorders>
            <w:tcMar>
              <w:bottom w:w="80" w:type="dxa"/>
            </w:tcMar>
            <w:vAlign w:val="center"/>
          </w:tcPr>
          <w:p>
            <w:pPr>
              <w:pStyle w:val="TableContents"/>
              <w:bidi w:val="0"/>
              <w:spacing w:before="0" w:after="283"/>
              <w:jc w:val="left"/>
              <w:rPr/>
            </w:pPr>
            <w:r>
              <w:rPr/>
              <w:t> </w:t>
            </w:r>
          </w:p>
        </w:tc>
        <w:tc>
          <w:tcPr>
            <w:tcW w:w="1470" w:type="dxa"/>
            <w:tcBorders>
              <w:bottom w:val="single" w:sz="6" w:space="0" w:color="DCCD8A"/>
            </w:tcBorders>
            <w:tcMar>
              <w:bottom w:w="80" w:type="dxa"/>
            </w:tcMar>
            <w:vAlign w:val="center"/>
          </w:tcPr>
          <w:p>
            <w:pPr>
              <w:pStyle w:val="TableContents"/>
              <w:bidi w:val="0"/>
              <w:spacing w:before="0" w:after="283"/>
              <w:jc w:val="right"/>
              <w:rPr/>
            </w:pPr>
            <w:r>
              <w:rPr/>
              <w:t>8,683,500</w:t>
            </w:r>
          </w:p>
        </w:tc>
        <w:tc>
          <w:tcPr>
            <w:tcW w:w="330" w:type="dxa"/>
            <w:tcBorders>
              <w:bottom w:val="single" w:sz="6" w:space="0" w:color="DCCD8A"/>
            </w:tcBorders>
            <w:tcMar>
              <w:bottom w:w="80" w:type="dxa"/>
            </w:tcMar>
            <w:vAlign w:val="center"/>
          </w:tcPr>
          <w:p>
            <w:pPr>
              <w:pStyle w:val="TableContents"/>
              <w:bidi w:val="0"/>
              <w:spacing w:before="0" w:after="283"/>
              <w:jc w:val="left"/>
              <w:rPr/>
            </w:pPr>
            <w:r>
              <w:rPr/>
              <w:t>(3)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91" w:type="dxa"/>
            <w:tcBorders>
              <w:bottom w:val="single" w:sz="6" w:space="0" w:color="DCCD8A"/>
            </w:tcBorders>
            <w:tcMar>
              <w:bottom w:w="80" w:type="dxa"/>
            </w:tcMar>
            <w:vAlign w:val="center"/>
          </w:tcPr>
          <w:p>
            <w:pPr>
              <w:pStyle w:val="TableContents"/>
              <w:bidi w:val="0"/>
              <w:spacing w:before="0" w:after="283"/>
              <w:jc w:val="left"/>
              <w:rPr/>
            </w:pPr>
            <w:r>
              <w:rPr/>
              <w:t> </w:t>
            </w:r>
          </w:p>
        </w:tc>
        <w:tc>
          <w:tcPr>
            <w:tcW w:w="1669" w:type="dxa"/>
            <w:tcBorders>
              <w:bottom w:val="single" w:sz="6" w:space="0" w:color="DCCD8A"/>
            </w:tcBorders>
            <w:tcMar>
              <w:bottom w:w="80" w:type="dxa"/>
            </w:tcMar>
            <w:vAlign w:val="center"/>
          </w:tcPr>
          <w:p>
            <w:pPr>
              <w:pStyle w:val="TableContents"/>
              <w:bidi w:val="0"/>
              <w:spacing w:before="0" w:after="283"/>
              <w:jc w:val="right"/>
              <w:rPr/>
            </w:pPr>
            <w:r>
              <w:rPr/>
              <w:t>25,793,270</w:t>
            </w:r>
          </w:p>
        </w:tc>
        <w:tc>
          <w:tcPr>
            <w:tcW w:w="78" w:type="dxa"/>
            <w:tcBorders>
              <w:bottom w:val="single" w:sz="6" w:space="0" w:color="DCCD8A"/>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pPr>
            <w:r>
              <w:rPr/>
              <w:t> </w:t>
            </w:r>
            <w:r>
              <w:rPr>
                <w:rFonts w:ascii="arial" w:hAnsi="arial"/>
                <w:sz w:val="18"/>
              </w:rPr>
              <w:t>Change in control without termination</w:t>
            </w:r>
          </w:p>
        </w:tc>
        <w:tc>
          <w:tcPr>
            <w:tcW w:w="120" w:type="dxa"/>
            <w:tcBorders>
              <w:bottom w:val="single" w:sz="6" w:space="0" w:color="DCCD8A"/>
            </w:tcBorders>
            <w:tcMar>
              <w:bottom w:w="28" w:type="dxa"/>
            </w:tcMar>
            <w:vAlign w:val="center"/>
          </w:tcPr>
          <w:p>
            <w:pPr>
              <w:pStyle w:val="TableContents"/>
              <w:bidi w:val="0"/>
              <w:spacing w:before="0" w:after="283"/>
              <w:jc w:val="left"/>
              <w:rPr/>
            </w:pPr>
            <w:r>
              <w:rPr/>
              <w:t>  </w:t>
            </w:r>
          </w:p>
        </w:tc>
        <w:tc>
          <w:tcPr>
            <w:tcW w:w="63" w:type="dxa"/>
            <w:tcBorders>
              <w:bottom w:val="single" w:sz="6" w:space="0" w:color="DCCD8A"/>
            </w:tcBorders>
            <w:tcMar>
              <w:bottom w:w="80" w:type="dxa"/>
            </w:tcMar>
            <w:vAlign w:val="center"/>
          </w:tcPr>
          <w:p>
            <w:pPr>
              <w:pStyle w:val="TableContents"/>
              <w:bidi w:val="0"/>
              <w:spacing w:before="0" w:after="283"/>
              <w:jc w:val="left"/>
              <w:rPr/>
            </w:pPr>
            <w:r>
              <w:rPr/>
              <w:t> </w:t>
            </w:r>
          </w:p>
        </w:tc>
        <w:tc>
          <w:tcPr>
            <w:tcW w:w="1172" w:type="dxa"/>
            <w:tcBorders>
              <w:bottom w:val="single" w:sz="6" w:space="0" w:color="DCCD8A"/>
            </w:tcBorders>
            <w:tcMar>
              <w:bottom w:w="80" w:type="dxa"/>
            </w:tcMar>
            <w:vAlign w:val="center"/>
          </w:tcPr>
          <w:p>
            <w:pPr>
              <w:pStyle w:val="TableContents"/>
              <w:bidi w:val="0"/>
              <w:spacing w:before="0" w:after="283"/>
              <w:jc w:val="right"/>
              <w:rPr/>
            </w:pPr>
            <w:r>
              <w:rPr/>
              <w:t>-0-</w:t>
            </w:r>
          </w:p>
        </w:tc>
        <w:tc>
          <w:tcPr>
            <w:tcW w:w="330" w:type="dxa"/>
            <w:tcBorders>
              <w:bottom w:val="single" w:sz="6" w:space="0" w:color="DCCD8A"/>
            </w:tcBorders>
            <w:tcMar>
              <w:bottom w:w="80" w:type="dxa"/>
            </w:tcMar>
            <w:vAlign w:val="center"/>
          </w:tcPr>
          <w:p>
            <w:pPr>
              <w:pStyle w:val="TableContents"/>
              <w:bidi w:val="0"/>
              <w:spacing w:before="0" w:after="283"/>
              <w:jc w:val="left"/>
              <w:rPr/>
            </w:pPr>
            <w:r>
              <w:rPr/>
              <w:t>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80" w:type="dxa"/>
            <w:tcBorders>
              <w:bottom w:val="single" w:sz="6" w:space="0" w:color="DCCD8A"/>
            </w:tcBorders>
            <w:tcMar>
              <w:bottom w:w="80" w:type="dxa"/>
            </w:tcMar>
            <w:vAlign w:val="center"/>
          </w:tcPr>
          <w:p>
            <w:pPr>
              <w:pStyle w:val="TableContents"/>
              <w:bidi w:val="0"/>
              <w:spacing w:before="0" w:after="283"/>
              <w:jc w:val="left"/>
              <w:rPr/>
            </w:pPr>
            <w:r>
              <w:rPr/>
              <w:t> </w:t>
            </w:r>
          </w:p>
        </w:tc>
        <w:tc>
          <w:tcPr>
            <w:tcW w:w="1470" w:type="dxa"/>
            <w:tcBorders>
              <w:bottom w:val="single" w:sz="6" w:space="0" w:color="DCCD8A"/>
            </w:tcBorders>
            <w:tcMar>
              <w:bottom w:w="80" w:type="dxa"/>
            </w:tcMar>
            <w:vAlign w:val="center"/>
          </w:tcPr>
          <w:p>
            <w:pPr>
              <w:pStyle w:val="TableContents"/>
              <w:bidi w:val="0"/>
              <w:spacing w:before="0" w:after="283"/>
              <w:jc w:val="right"/>
              <w:rPr/>
            </w:pPr>
            <w:r>
              <w:rPr/>
              <w:t>-0-</w:t>
            </w:r>
          </w:p>
        </w:tc>
        <w:tc>
          <w:tcPr>
            <w:tcW w:w="330" w:type="dxa"/>
            <w:tcBorders>
              <w:bottom w:val="single" w:sz="6" w:space="0" w:color="DCCD8A"/>
            </w:tcBorders>
            <w:tcMar>
              <w:bottom w:w="80" w:type="dxa"/>
            </w:tcMar>
            <w:vAlign w:val="center"/>
          </w:tcPr>
          <w:p>
            <w:pPr>
              <w:pStyle w:val="TableContents"/>
              <w:bidi w:val="0"/>
              <w:spacing w:before="0" w:after="283"/>
              <w:jc w:val="left"/>
              <w:rPr/>
            </w:pPr>
            <w:r>
              <w:rPr/>
              <w:t>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91" w:type="dxa"/>
            <w:tcBorders>
              <w:bottom w:val="single" w:sz="6" w:space="0" w:color="DCCD8A"/>
            </w:tcBorders>
            <w:tcMar>
              <w:bottom w:w="80" w:type="dxa"/>
            </w:tcMar>
            <w:vAlign w:val="center"/>
          </w:tcPr>
          <w:p>
            <w:pPr>
              <w:pStyle w:val="TableContents"/>
              <w:bidi w:val="0"/>
              <w:spacing w:before="0" w:after="283"/>
              <w:jc w:val="left"/>
              <w:rPr/>
            </w:pPr>
            <w:r>
              <w:rPr/>
              <w:t> </w:t>
            </w:r>
          </w:p>
        </w:tc>
        <w:tc>
          <w:tcPr>
            <w:tcW w:w="1669" w:type="dxa"/>
            <w:tcBorders>
              <w:bottom w:val="single" w:sz="6" w:space="0" w:color="DCCD8A"/>
            </w:tcBorders>
            <w:tcMar>
              <w:bottom w:w="80" w:type="dxa"/>
            </w:tcMar>
            <w:vAlign w:val="center"/>
          </w:tcPr>
          <w:p>
            <w:pPr>
              <w:pStyle w:val="TableContents"/>
              <w:bidi w:val="0"/>
              <w:spacing w:before="0" w:after="283"/>
              <w:jc w:val="right"/>
              <w:rPr/>
            </w:pPr>
            <w:r>
              <w:rPr/>
              <w:t>-0-</w:t>
            </w:r>
          </w:p>
        </w:tc>
        <w:tc>
          <w:tcPr>
            <w:tcW w:w="78" w:type="dxa"/>
            <w:tcBorders>
              <w:bottom w:val="single" w:sz="6" w:space="0" w:color="DCCD8A"/>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pPr>
            <w:r>
              <w:rPr/>
              <w:t> </w:t>
            </w:r>
            <w:r>
              <w:rPr>
                <w:rFonts w:ascii="arial" w:hAnsi="arial"/>
                <w:sz w:val="18"/>
              </w:rPr>
              <w:t>Death or Disability</w:t>
            </w:r>
          </w:p>
        </w:tc>
        <w:tc>
          <w:tcPr>
            <w:tcW w:w="120" w:type="dxa"/>
            <w:tcBorders>
              <w:bottom w:val="single" w:sz="6" w:space="0" w:color="DCCD8A"/>
            </w:tcBorders>
            <w:tcMar>
              <w:bottom w:w="28" w:type="dxa"/>
            </w:tcMar>
            <w:vAlign w:val="center"/>
          </w:tcPr>
          <w:p>
            <w:pPr>
              <w:pStyle w:val="TableContents"/>
              <w:bidi w:val="0"/>
              <w:spacing w:before="0" w:after="283"/>
              <w:jc w:val="left"/>
              <w:rPr/>
            </w:pPr>
            <w:r>
              <w:rPr/>
              <w:t>  </w:t>
            </w:r>
          </w:p>
        </w:tc>
        <w:tc>
          <w:tcPr>
            <w:tcW w:w="63" w:type="dxa"/>
            <w:tcBorders>
              <w:bottom w:val="single" w:sz="6" w:space="0" w:color="DCCD8A"/>
            </w:tcBorders>
            <w:tcMar>
              <w:bottom w:w="80" w:type="dxa"/>
            </w:tcMar>
            <w:vAlign w:val="center"/>
          </w:tcPr>
          <w:p>
            <w:pPr>
              <w:pStyle w:val="TableContents"/>
              <w:bidi w:val="0"/>
              <w:spacing w:before="0" w:after="283"/>
              <w:jc w:val="left"/>
              <w:rPr/>
            </w:pPr>
            <w:r>
              <w:rPr/>
              <w:t> </w:t>
            </w:r>
          </w:p>
        </w:tc>
        <w:tc>
          <w:tcPr>
            <w:tcW w:w="1172" w:type="dxa"/>
            <w:tcBorders>
              <w:bottom w:val="single" w:sz="6" w:space="0" w:color="DCCD8A"/>
            </w:tcBorders>
            <w:tcMar>
              <w:bottom w:w="80" w:type="dxa"/>
            </w:tcMar>
            <w:vAlign w:val="center"/>
          </w:tcPr>
          <w:p>
            <w:pPr>
              <w:pStyle w:val="TableContents"/>
              <w:bidi w:val="0"/>
              <w:spacing w:before="0" w:after="283"/>
              <w:jc w:val="right"/>
              <w:rPr/>
            </w:pPr>
            <w:r>
              <w:rPr/>
              <w:t>4,500,000</w:t>
            </w:r>
          </w:p>
        </w:tc>
        <w:tc>
          <w:tcPr>
            <w:tcW w:w="330" w:type="dxa"/>
            <w:tcBorders>
              <w:bottom w:val="single" w:sz="6" w:space="0" w:color="DCCD8A"/>
            </w:tcBorders>
            <w:tcMar>
              <w:bottom w:w="80" w:type="dxa"/>
            </w:tcMar>
            <w:vAlign w:val="center"/>
          </w:tcPr>
          <w:p>
            <w:pPr>
              <w:pStyle w:val="TableContents"/>
              <w:bidi w:val="0"/>
              <w:spacing w:before="0" w:after="283"/>
              <w:jc w:val="left"/>
              <w:rPr/>
            </w:pPr>
            <w:r>
              <w:rPr/>
              <w:t>(2)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80" w:type="dxa"/>
            <w:tcBorders>
              <w:bottom w:val="single" w:sz="6" w:space="0" w:color="DCCD8A"/>
            </w:tcBorders>
            <w:tcMar>
              <w:bottom w:w="80" w:type="dxa"/>
            </w:tcMar>
            <w:vAlign w:val="center"/>
          </w:tcPr>
          <w:p>
            <w:pPr>
              <w:pStyle w:val="TableContents"/>
              <w:bidi w:val="0"/>
              <w:spacing w:before="0" w:after="283"/>
              <w:jc w:val="left"/>
              <w:rPr/>
            </w:pPr>
            <w:r>
              <w:rPr/>
              <w:t> </w:t>
            </w:r>
          </w:p>
        </w:tc>
        <w:tc>
          <w:tcPr>
            <w:tcW w:w="1470" w:type="dxa"/>
            <w:tcBorders>
              <w:bottom w:val="single" w:sz="6" w:space="0" w:color="DCCD8A"/>
            </w:tcBorders>
            <w:tcMar>
              <w:bottom w:w="80" w:type="dxa"/>
            </w:tcMar>
            <w:vAlign w:val="center"/>
          </w:tcPr>
          <w:p>
            <w:pPr>
              <w:pStyle w:val="TableContents"/>
              <w:bidi w:val="0"/>
              <w:spacing w:before="0" w:after="283"/>
              <w:jc w:val="right"/>
              <w:rPr/>
            </w:pPr>
            <w:r>
              <w:rPr/>
              <w:t>8,683,500</w:t>
            </w:r>
          </w:p>
        </w:tc>
        <w:tc>
          <w:tcPr>
            <w:tcW w:w="330" w:type="dxa"/>
            <w:tcBorders>
              <w:bottom w:val="single" w:sz="6" w:space="0" w:color="DCCD8A"/>
            </w:tcBorders>
            <w:tcMar>
              <w:bottom w:w="80" w:type="dxa"/>
            </w:tcMar>
            <w:vAlign w:val="center"/>
          </w:tcPr>
          <w:p>
            <w:pPr>
              <w:pStyle w:val="TableContents"/>
              <w:bidi w:val="0"/>
              <w:spacing w:before="0" w:after="283"/>
              <w:jc w:val="left"/>
              <w:rPr/>
            </w:pPr>
            <w:r>
              <w:rPr/>
              <w:t>(4)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91" w:type="dxa"/>
            <w:tcBorders>
              <w:bottom w:val="single" w:sz="6" w:space="0" w:color="DCCD8A"/>
            </w:tcBorders>
            <w:tcMar>
              <w:bottom w:w="80" w:type="dxa"/>
            </w:tcMar>
            <w:vAlign w:val="center"/>
          </w:tcPr>
          <w:p>
            <w:pPr>
              <w:pStyle w:val="TableContents"/>
              <w:bidi w:val="0"/>
              <w:spacing w:before="0" w:after="283"/>
              <w:jc w:val="left"/>
              <w:rPr/>
            </w:pPr>
            <w:r>
              <w:rPr/>
              <w:t> </w:t>
            </w:r>
          </w:p>
        </w:tc>
        <w:tc>
          <w:tcPr>
            <w:tcW w:w="1669" w:type="dxa"/>
            <w:tcBorders>
              <w:bottom w:val="single" w:sz="6" w:space="0" w:color="DCCD8A"/>
            </w:tcBorders>
            <w:tcMar>
              <w:bottom w:w="80" w:type="dxa"/>
            </w:tcMar>
            <w:vAlign w:val="center"/>
          </w:tcPr>
          <w:p>
            <w:pPr>
              <w:pStyle w:val="TableContents"/>
              <w:bidi w:val="0"/>
              <w:spacing w:before="0" w:after="283"/>
              <w:jc w:val="right"/>
              <w:rPr/>
            </w:pPr>
            <w:r>
              <w:rPr/>
              <w:t>13,183,500</w:t>
            </w:r>
          </w:p>
        </w:tc>
        <w:tc>
          <w:tcPr>
            <w:tcW w:w="78" w:type="dxa"/>
            <w:tcBorders>
              <w:bottom w:val="single" w:sz="6" w:space="0" w:color="DCCD8A"/>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bottom w:val="single" w:sz="8" w:space="0" w:color="B99C16"/>
            </w:tcBorders>
            <w:shd w:fill="F4F0DC" w:val="clear"/>
            <w:tcMar>
              <w:bottom w:w="80" w:type="dxa"/>
            </w:tcMar>
            <w:vAlign w:val="center"/>
          </w:tcPr>
          <w:p>
            <w:pPr>
              <w:pStyle w:val="TableContents"/>
              <w:bidi w:val="0"/>
              <w:spacing w:before="0" w:after="0"/>
              <w:jc w:val="left"/>
              <w:rPr/>
            </w:pPr>
            <w:r>
              <w:rPr/>
              <w:t> </w:t>
            </w:r>
            <w:r>
              <w:rPr>
                <w:rFonts w:ascii="arial" w:hAnsi="arial"/>
                <w:sz w:val="18"/>
              </w:rPr>
              <w:t>Involuntary or good reason termination within 2 years of a CIC</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3" w:type="dxa"/>
            <w:tcBorders>
              <w:bottom w:val="single" w:sz="8" w:space="0" w:color="B99C16"/>
            </w:tcBorders>
            <w:tcMar>
              <w:bottom w:w="80" w:type="dxa"/>
            </w:tcMar>
            <w:vAlign w:val="center"/>
          </w:tcPr>
          <w:p>
            <w:pPr>
              <w:pStyle w:val="TableContents"/>
              <w:bidi w:val="0"/>
              <w:spacing w:before="0" w:after="283"/>
              <w:jc w:val="left"/>
              <w:rPr/>
            </w:pPr>
            <w:r>
              <w:rPr/>
              <w:t> </w:t>
            </w:r>
          </w:p>
        </w:tc>
        <w:tc>
          <w:tcPr>
            <w:tcW w:w="1172" w:type="dxa"/>
            <w:tcBorders>
              <w:bottom w:val="single" w:sz="8" w:space="0" w:color="B99C16"/>
            </w:tcBorders>
            <w:tcMar>
              <w:bottom w:w="80" w:type="dxa"/>
            </w:tcMar>
            <w:vAlign w:val="center"/>
          </w:tcPr>
          <w:p>
            <w:pPr>
              <w:pStyle w:val="TableContents"/>
              <w:bidi w:val="0"/>
              <w:spacing w:before="0" w:after="283"/>
              <w:jc w:val="right"/>
              <w:rPr/>
            </w:pPr>
            <w:r>
              <w:rPr/>
              <w:t>17,109,770</w:t>
            </w:r>
          </w:p>
        </w:tc>
        <w:tc>
          <w:tcPr>
            <w:tcW w:w="33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0" w:type="dxa"/>
            <w:tcBorders>
              <w:bottom w:val="single" w:sz="8" w:space="0" w:color="B99C16"/>
            </w:tcBorders>
            <w:tcMar>
              <w:bottom w:w="80" w:type="dxa"/>
            </w:tcMar>
            <w:vAlign w:val="center"/>
          </w:tcPr>
          <w:p>
            <w:pPr>
              <w:pStyle w:val="TableContents"/>
              <w:bidi w:val="0"/>
              <w:spacing w:before="0" w:after="283"/>
              <w:jc w:val="left"/>
              <w:rPr/>
            </w:pPr>
            <w:r>
              <w:rPr/>
              <w:t> </w:t>
            </w:r>
          </w:p>
        </w:tc>
        <w:tc>
          <w:tcPr>
            <w:tcW w:w="1470" w:type="dxa"/>
            <w:tcBorders>
              <w:bottom w:val="single" w:sz="8" w:space="0" w:color="B99C16"/>
            </w:tcBorders>
            <w:tcMar>
              <w:bottom w:w="80" w:type="dxa"/>
            </w:tcMar>
            <w:vAlign w:val="center"/>
          </w:tcPr>
          <w:p>
            <w:pPr>
              <w:pStyle w:val="TableContents"/>
              <w:bidi w:val="0"/>
              <w:spacing w:before="0" w:after="283"/>
              <w:jc w:val="right"/>
              <w:rPr/>
            </w:pPr>
            <w:r>
              <w:rPr/>
              <w:t>13,423,992</w:t>
            </w:r>
          </w:p>
        </w:tc>
        <w:tc>
          <w:tcPr>
            <w:tcW w:w="330" w:type="dxa"/>
            <w:tcBorders>
              <w:bottom w:val="single" w:sz="8" w:space="0" w:color="B99C16"/>
            </w:tcBorders>
            <w:tcMar>
              <w:bottom w:w="80" w:type="dxa"/>
            </w:tcMar>
            <w:vAlign w:val="center"/>
          </w:tcPr>
          <w:p>
            <w:pPr>
              <w:pStyle w:val="TableContents"/>
              <w:bidi w:val="0"/>
              <w:spacing w:before="0" w:after="283"/>
              <w:jc w:val="left"/>
              <w:rPr/>
            </w:pPr>
            <w:r>
              <w:rPr/>
              <w:t>(5)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1" w:type="dxa"/>
            <w:tcBorders>
              <w:bottom w:val="single" w:sz="8" w:space="0" w:color="B99C16"/>
            </w:tcBorders>
            <w:tcMar>
              <w:bottom w:w="80" w:type="dxa"/>
            </w:tcMar>
            <w:vAlign w:val="center"/>
          </w:tcPr>
          <w:p>
            <w:pPr>
              <w:pStyle w:val="TableContents"/>
              <w:bidi w:val="0"/>
              <w:spacing w:before="0" w:after="283"/>
              <w:jc w:val="left"/>
              <w:rPr/>
            </w:pPr>
            <w:r>
              <w:rPr/>
              <w:t> </w:t>
            </w:r>
          </w:p>
        </w:tc>
        <w:tc>
          <w:tcPr>
            <w:tcW w:w="1669" w:type="dxa"/>
            <w:tcBorders>
              <w:bottom w:val="single" w:sz="8" w:space="0" w:color="B99C16"/>
            </w:tcBorders>
            <w:tcMar>
              <w:bottom w:w="80" w:type="dxa"/>
            </w:tcMar>
            <w:vAlign w:val="center"/>
          </w:tcPr>
          <w:p>
            <w:pPr>
              <w:pStyle w:val="TableContents"/>
              <w:bidi w:val="0"/>
              <w:spacing w:before="0" w:after="283"/>
              <w:jc w:val="right"/>
              <w:rPr/>
            </w:pPr>
            <w:r>
              <w:rPr/>
              <w:t>30,533,762</w:t>
            </w:r>
          </w:p>
        </w:tc>
        <w:tc>
          <w:tcPr>
            <w:tcW w:w="78" w:type="dxa"/>
            <w:tcBorders>
              <w:bottom w:val="single" w:sz="8" w:space="0" w:color="B99C16"/>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rFonts w:ascii="arial" w:hAnsi="arial"/>
                <w:b/>
                <w:color w:val="004876"/>
                <w:sz w:val="18"/>
              </w:rPr>
            </w:pPr>
            <w:r>
              <w:rPr>
                <w:rFonts w:ascii="arial" w:hAnsi="arial"/>
                <w:b/>
                <w:color w:val="004876"/>
                <w:sz w:val="18"/>
              </w:rPr>
              <w:t>William E. Mudd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pPr>
            <w:r>
              <w:rPr/>
              <w:t> </w:t>
            </w:r>
            <w:r>
              <w:rPr>
                <w:rFonts w:ascii="arial" w:hAnsi="arial"/>
                <w:sz w:val="18"/>
              </w:rPr>
              <w:t>Involuntary or good reason termination</w:t>
            </w:r>
          </w:p>
        </w:tc>
        <w:tc>
          <w:tcPr>
            <w:tcW w:w="120" w:type="dxa"/>
            <w:tcBorders>
              <w:bottom w:val="single" w:sz="6" w:space="0" w:color="DCCD8A"/>
            </w:tcBorders>
            <w:tcMar>
              <w:bottom w:w="28" w:type="dxa"/>
            </w:tcMar>
            <w:vAlign w:val="center"/>
          </w:tcPr>
          <w:p>
            <w:pPr>
              <w:pStyle w:val="TableContents"/>
              <w:bidi w:val="0"/>
              <w:spacing w:before="0" w:after="283"/>
              <w:jc w:val="left"/>
              <w:rPr/>
            </w:pPr>
            <w:r>
              <w:rPr/>
              <w:t>  </w:t>
            </w:r>
          </w:p>
        </w:tc>
        <w:tc>
          <w:tcPr>
            <w:tcW w:w="63" w:type="dxa"/>
            <w:tcBorders>
              <w:bottom w:val="single" w:sz="6" w:space="0" w:color="DCCD8A"/>
            </w:tcBorders>
            <w:tcMar>
              <w:bottom w:w="80" w:type="dxa"/>
            </w:tcMar>
            <w:vAlign w:val="center"/>
          </w:tcPr>
          <w:p>
            <w:pPr>
              <w:pStyle w:val="TableContents"/>
              <w:bidi w:val="0"/>
              <w:spacing w:before="0" w:after="283"/>
              <w:jc w:val="left"/>
              <w:rPr/>
            </w:pPr>
            <w:r>
              <w:rPr/>
              <w:t> </w:t>
            </w:r>
          </w:p>
        </w:tc>
        <w:tc>
          <w:tcPr>
            <w:tcW w:w="1172" w:type="dxa"/>
            <w:tcBorders>
              <w:bottom w:val="single" w:sz="6" w:space="0" w:color="DCCD8A"/>
            </w:tcBorders>
            <w:tcMar>
              <w:bottom w:w="80" w:type="dxa"/>
            </w:tcMar>
            <w:vAlign w:val="center"/>
          </w:tcPr>
          <w:p>
            <w:pPr>
              <w:pStyle w:val="TableContents"/>
              <w:bidi w:val="0"/>
              <w:spacing w:before="0" w:after="283"/>
              <w:jc w:val="right"/>
              <w:rPr/>
            </w:pPr>
            <w:r>
              <w:rPr/>
              <w:t>5,891,797</w:t>
            </w:r>
          </w:p>
        </w:tc>
        <w:tc>
          <w:tcPr>
            <w:tcW w:w="330" w:type="dxa"/>
            <w:tcBorders>
              <w:bottom w:val="single" w:sz="6" w:space="0" w:color="DCCD8A"/>
            </w:tcBorders>
            <w:tcMar>
              <w:bottom w:w="80" w:type="dxa"/>
            </w:tcMar>
            <w:vAlign w:val="center"/>
          </w:tcPr>
          <w:p>
            <w:pPr>
              <w:pStyle w:val="TableContents"/>
              <w:bidi w:val="0"/>
              <w:spacing w:before="0" w:after="283"/>
              <w:jc w:val="left"/>
              <w:rPr/>
            </w:pPr>
            <w:r>
              <w:rPr/>
              <w:t>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80" w:type="dxa"/>
            <w:tcBorders>
              <w:bottom w:val="single" w:sz="6" w:space="0" w:color="DCCD8A"/>
            </w:tcBorders>
            <w:tcMar>
              <w:bottom w:w="80" w:type="dxa"/>
            </w:tcMar>
            <w:vAlign w:val="center"/>
          </w:tcPr>
          <w:p>
            <w:pPr>
              <w:pStyle w:val="TableContents"/>
              <w:bidi w:val="0"/>
              <w:spacing w:before="0" w:after="283"/>
              <w:jc w:val="left"/>
              <w:rPr/>
            </w:pPr>
            <w:r>
              <w:rPr/>
              <w:t> </w:t>
            </w:r>
          </w:p>
        </w:tc>
        <w:tc>
          <w:tcPr>
            <w:tcW w:w="1470" w:type="dxa"/>
            <w:tcBorders>
              <w:bottom w:val="single" w:sz="6" w:space="0" w:color="DCCD8A"/>
            </w:tcBorders>
            <w:tcMar>
              <w:bottom w:w="80" w:type="dxa"/>
            </w:tcMar>
            <w:vAlign w:val="center"/>
          </w:tcPr>
          <w:p>
            <w:pPr>
              <w:pStyle w:val="TableContents"/>
              <w:bidi w:val="0"/>
              <w:spacing w:before="0" w:after="283"/>
              <w:jc w:val="right"/>
              <w:rPr/>
            </w:pPr>
            <w:r>
              <w:rPr/>
              <w:t>3,233,969</w:t>
            </w:r>
          </w:p>
        </w:tc>
        <w:tc>
          <w:tcPr>
            <w:tcW w:w="330" w:type="dxa"/>
            <w:tcBorders>
              <w:bottom w:val="single" w:sz="6" w:space="0" w:color="DCCD8A"/>
            </w:tcBorders>
            <w:tcMar>
              <w:bottom w:w="80" w:type="dxa"/>
            </w:tcMar>
            <w:vAlign w:val="center"/>
          </w:tcPr>
          <w:p>
            <w:pPr>
              <w:pStyle w:val="TableContents"/>
              <w:bidi w:val="0"/>
              <w:spacing w:before="0" w:after="283"/>
              <w:jc w:val="left"/>
              <w:rPr/>
            </w:pPr>
            <w:r>
              <w:rPr/>
              <w:t>(3)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91" w:type="dxa"/>
            <w:tcBorders>
              <w:bottom w:val="single" w:sz="6" w:space="0" w:color="DCCD8A"/>
            </w:tcBorders>
            <w:tcMar>
              <w:bottom w:w="80" w:type="dxa"/>
            </w:tcMar>
            <w:vAlign w:val="center"/>
          </w:tcPr>
          <w:p>
            <w:pPr>
              <w:pStyle w:val="TableContents"/>
              <w:bidi w:val="0"/>
              <w:spacing w:before="0" w:after="283"/>
              <w:jc w:val="left"/>
              <w:rPr/>
            </w:pPr>
            <w:r>
              <w:rPr/>
              <w:t> </w:t>
            </w:r>
          </w:p>
        </w:tc>
        <w:tc>
          <w:tcPr>
            <w:tcW w:w="1669" w:type="dxa"/>
            <w:tcBorders>
              <w:bottom w:val="single" w:sz="6" w:space="0" w:color="DCCD8A"/>
            </w:tcBorders>
            <w:tcMar>
              <w:bottom w:w="80" w:type="dxa"/>
            </w:tcMar>
            <w:vAlign w:val="center"/>
          </w:tcPr>
          <w:p>
            <w:pPr>
              <w:pStyle w:val="TableContents"/>
              <w:bidi w:val="0"/>
              <w:spacing w:before="0" w:after="283"/>
              <w:jc w:val="right"/>
              <w:rPr/>
            </w:pPr>
            <w:r>
              <w:rPr/>
              <w:t>9,125,766</w:t>
            </w:r>
          </w:p>
        </w:tc>
        <w:tc>
          <w:tcPr>
            <w:tcW w:w="78" w:type="dxa"/>
            <w:tcBorders>
              <w:bottom w:val="single" w:sz="6" w:space="0" w:color="DCCD8A"/>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pPr>
            <w:r>
              <w:rPr/>
              <w:t> </w:t>
            </w:r>
            <w:r>
              <w:rPr>
                <w:rFonts w:ascii="arial" w:hAnsi="arial"/>
                <w:sz w:val="18"/>
              </w:rPr>
              <w:t>Change in control without termination</w:t>
            </w:r>
          </w:p>
        </w:tc>
        <w:tc>
          <w:tcPr>
            <w:tcW w:w="120" w:type="dxa"/>
            <w:tcBorders>
              <w:bottom w:val="single" w:sz="6" w:space="0" w:color="DCCD8A"/>
            </w:tcBorders>
            <w:tcMar>
              <w:bottom w:w="28" w:type="dxa"/>
            </w:tcMar>
            <w:vAlign w:val="center"/>
          </w:tcPr>
          <w:p>
            <w:pPr>
              <w:pStyle w:val="TableContents"/>
              <w:bidi w:val="0"/>
              <w:spacing w:before="0" w:after="283"/>
              <w:jc w:val="left"/>
              <w:rPr/>
            </w:pPr>
            <w:r>
              <w:rPr/>
              <w:t>  </w:t>
            </w:r>
          </w:p>
        </w:tc>
        <w:tc>
          <w:tcPr>
            <w:tcW w:w="63" w:type="dxa"/>
            <w:tcBorders>
              <w:bottom w:val="single" w:sz="6" w:space="0" w:color="DCCD8A"/>
            </w:tcBorders>
            <w:tcMar>
              <w:bottom w:w="80" w:type="dxa"/>
            </w:tcMar>
            <w:vAlign w:val="center"/>
          </w:tcPr>
          <w:p>
            <w:pPr>
              <w:pStyle w:val="TableContents"/>
              <w:bidi w:val="0"/>
              <w:spacing w:before="0" w:after="283"/>
              <w:jc w:val="left"/>
              <w:rPr/>
            </w:pPr>
            <w:r>
              <w:rPr/>
              <w:t> </w:t>
            </w:r>
          </w:p>
        </w:tc>
        <w:tc>
          <w:tcPr>
            <w:tcW w:w="1172" w:type="dxa"/>
            <w:tcBorders>
              <w:bottom w:val="single" w:sz="6" w:space="0" w:color="DCCD8A"/>
            </w:tcBorders>
            <w:tcMar>
              <w:bottom w:w="80" w:type="dxa"/>
            </w:tcMar>
            <w:vAlign w:val="center"/>
          </w:tcPr>
          <w:p>
            <w:pPr>
              <w:pStyle w:val="TableContents"/>
              <w:bidi w:val="0"/>
              <w:spacing w:before="0" w:after="283"/>
              <w:jc w:val="right"/>
              <w:rPr/>
            </w:pPr>
            <w:r>
              <w:rPr/>
              <w:t>-0-</w:t>
            </w:r>
          </w:p>
        </w:tc>
        <w:tc>
          <w:tcPr>
            <w:tcW w:w="330" w:type="dxa"/>
            <w:tcBorders>
              <w:bottom w:val="single" w:sz="6" w:space="0" w:color="DCCD8A"/>
            </w:tcBorders>
            <w:tcMar>
              <w:bottom w:w="80" w:type="dxa"/>
            </w:tcMar>
            <w:vAlign w:val="center"/>
          </w:tcPr>
          <w:p>
            <w:pPr>
              <w:pStyle w:val="TableContents"/>
              <w:bidi w:val="0"/>
              <w:spacing w:before="0" w:after="283"/>
              <w:jc w:val="left"/>
              <w:rPr/>
            </w:pPr>
            <w:r>
              <w:rPr/>
              <w:t>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80" w:type="dxa"/>
            <w:tcBorders>
              <w:bottom w:val="single" w:sz="6" w:space="0" w:color="DCCD8A"/>
            </w:tcBorders>
            <w:tcMar>
              <w:bottom w:w="80" w:type="dxa"/>
            </w:tcMar>
            <w:vAlign w:val="center"/>
          </w:tcPr>
          <w:p>
            <w:pPr>
              <w:pStyle w:val="TableContents"/>
              <w:bidi w:val="0"/>
              <w:spacing w:before="0" w:after="283"/>
              <w:jc w:val="left"/>
              <w:rPr/>
            </w:pPr>
            <w:r>
              <w:rPr/>
              <w:t> </w:t>
            </w:r>
          </w:p>
        </w:tc>
        <w:tc>
          <w:tcPr>
            <w:tcW w:w="1470" w:type="dxa"/>
            <w:tcBorders>
              <w:bottom w:val="single" w:sz="6" w:space="0" w:color="DCCD8A"/>
            </w:tcBorders>
            <w:tcMar>
              <w:bottom w:w="80" w:type="dxa"/>
            </w:tcMar>
            <w:vAlign w:val="center"/>
          </w:tcPr>
          <w:p>
            <w:pPr>
              <w:pStyle w:val="TableContents"/>
              <w:bidi w:val="0"/>
              <w:spacing w:before="0" w:after="283"/>
              <w:jc w:val="right"/>
              <w:rPr/>
            </w:pPr>
            <w:r>
              <w:rPr/>
              <w:t>-0-</w:t>
            </w:r>
          </w:p>
        </w:tc>
        <w:tc>
          <w:tcPr>
            <w:tcW w:w="330" w:type="dxa"/>
            <w:tcBorders>
              <w:bottom w:val="single" w:sz="6" w:space="0" w:color="DCCD8A"/>
            </w:tcBorders>
            <w:tcMar>
              <w:bottom w:w="80" w:type="dxa"/>
            </w:tcMar>
            <w:vAlign w:val="center"/>
          </w:tcPr>
          <w:p>
            <w:pPr>
              <w:pStyle w:val="TableContents"/>
              <w:bidi w:val="0"/>
              <w:spacing w:before="0" w:after="283"/>
              <w:jc w:val="left"/>
              <w:rPr/>
            </w:pPr>
            <w:r>
              <w:rPr/>
              <w:t>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91" w:type="dxa"/>
            <w:tcBorders>
              <w:bottom w:val="single" w:sz="6" w:space="0" w:color="DCCD8A"/>
            </w:tcBorders>
            <w:tcMar>
              <w:bottom w:w="80" w:type="dxa"/>
            </w:tcMar>
            <w:vAlign w:val="center"/>
          </w:tcPr>
          <w:p>
            <w:pPr>
              <w:pStyle w:val="TableContents"/>
              <w:bidi w:val="0"/>
              <w:spacing w:before="0" w:after="283"/>
              <w:jc w:val="left"/>
              <w:rPr/>
            </w:pPr>
            <w:r>
              <w:rPr/>
              <w:t> </w:t>
            </w:r>
          </w:p>
        </w:tc>
        <w:tc>
          <w:tcPr>
            <w:tcW w:w="1669" w:type="dxa"/>
            <w:tcBorders>
              <w:bottom w:val="single" w:sz="6" w:space="0" w:color="DCCD8A"/>
            </w:tcBorders>
            <w:tcMar>
              <w:bottom w:w="80" w:type="dxa"/>
            </w:tcMar>
            <w:vAlign w:val="center"/>
          </w:tcPr>
          <w:p>
            <w:pPr>
              <w:pStyle w:val="TableContents"/>
              <w:bidi w:val="0"/>
              <w:spacing w:before="0" w:after="283"/>
              <w:jc w:val="right"/>
              <w:rPr/>
            </w:pPr>
            <w:r>
              <w:rPr/>
              <w:t>-0-</w:t>
            </w:r>
          </w:p>
        </w:tc>
        <w:tc>
          <w:tcPr>
            <w:tcW w:w="78" w:type="dxa"/>
            <w:tcBorders>
              <w:bottom w:val="single" w:sz="6" w:space="0" w:color="DCCD8A"/>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pPr>
            <w:r>
              <w:rPr/>
              <w:t> </w:t>
            </w:r>
            <w:r>
              <w:rPr>
                <w:rFonts w:ascii="arial" w:hAnsi="arial"/>
                <w:sz w:val="18"/>
              </w:rPr>
              <w:t>Death or Disability</w:t>
            </w:r>
          </w:p>
        </w:tc>
        <w:tc>
          <w:tcPr>
            <w:tcW w:w="120" w:type="dxa"/>
            <w:tcBorders>
              <w:bottom w:val="single" w:sz="6" w:space="0" w:color="DCCD8A"/>
            </w:tcBorders>
            <w:tcMar>
              <w:bottom w:w="28" w:type="dxa"/>
            </w:tcMar>
            <w:vAlign w:val="center"/>
          </w:tcPr>
          <w:p>
            <w:pPr>
              <w:pStyle w:val="TableContents"/>
              <w:bidi w:val="0"/>
              <w:spacing w:before="0" w:after="283"/>
              <w:jc w:val="left"/>
              <w:rPr/>
            </w:pPr>
            <w:r>
              <w:rPr/>
              <w:t>  </w:t>
            </w:r>
          </w:p>
        </w:tc>
        <w:tc>
          <w:tcPr>
            <w:tcW w:w="63" w:type="dxa"/>
            <w:tcBorders>
              <w:bottom w:val="single" w:sz="6" w:space="0" w:color="DCCD8A"/>
            </w:tcBorders>
            <w:tcMar>
              <w:bottom w:w="80" w:type="dxa"/>
            </w:tcMar>
            <w:vAlign w:val="center"/>
          </w:tcPr>
          <w:p>
            <w:pPr>
              <w:pStyle w:val="TableContents"/>
              <w:bidi w:val="0"/>
              <w:spacing w:before="0" w:after="283"/>
              <w:jc w:val="left"/>
              <w:rPr/>
            </w:pPr>
            <w:r>
              <w:rPr/>
              <w:t> </w:t>
            </w:r>
          </w:p>
        </w:tc>
        <w:tc>
          <w:tcPr>
            <w:tcW w:w="1172" w:type="dxa"/>
            <w:tcBorders>
              <w:bottom w:val="single" w:sz="6" w:space="0" w:color="DCCD8A"/>
            </w:tcBorders>
            <w:tcMar>
              <w:bottom w:w="80" w:type="dxa"/>
            </w:tcMar>
            <w:vAlign w:val="center"/>
          </w:tcPr>
          <w:p>
            <w:pPr>
              <w:pStyle w:val="TableContents"/>
              <w:bidi w:val="0"/>
              <w:spacing w:before="0" w:after="283"/>
              <w:jc w:val="right"/>
              <w:rPr/>
            </w:pPr>
            <w:r>
              <w:rPr/>
              <w:t>1,591,350</w:t>
            </w:r>
          </w:p>
        </w:tc>
        <w:tc>
          <w:tcPr>
            <w:tcW w:w="330" w:type="dxa"/>
            <w:tcBorders>
              <w:bottom w:val="single" w:sz="6" w:space="0" w:color="DCCD8A"/>
            </w:tcBorders>
            <w:tcMar>
              <w:bottom w:w="80" w:type="dxa"/>
            </w:tcMar>
            <w:vAlign w:val="center"/>
          </w:tcPr>
          <w:p>
            <w:pPr>
              <w:pStyle w:val="TableContents"/>
              <w:bidi w:val="0"/>
              <w:spacing w:before="0" w:after="283"/>
              <w:jc w:val="left"/>
              <w:rPr/>
            </w:pPr>
            <w:r>
              <w:rPr/>
              <w:t>(2)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80" w:type="dxa"/>
            <w:tcBorders>
              <w:bottom w:val="single" w:sz="6" w:space="0" w:color="DCCD8A"/>
            </w:tcBorders>
            <w:tcMar>
              <w:bottom w:w="80" w:type="dxa"/>
            </w:tcMar>
            <w:vAlign w:val="center"/>
          </w:tcPr>
          <w:p>
            <w:pPr>
              <w:pStyle w:val="TableContents"/>
              <w:bidi w:val="0"/>
              <w:spacing w:before="0" w:after="283"/>
              <w:jc w:val="left"/>
              <w:rPr/>
            </w:pPr>
            <w:r>
              <w:rPr/>
              <w:t> </w:t>
            </w:r>
          </w:p>
        </w:tc>
        <w:tc>
          <w:tcPr>
            <w:tcW w:w="1470" w:type="dxa"/>
            <w:tcBorders>
              <w:bottom w:val="single" w:sz="6" w:space="0" w:color="DCCD8A"/>
            </w:tcBorders>
            <w:tcMar>
              <w:bottom w:w="80" w:type="dxa"/>
            </w:tcMar>
            <w:vAlign w:val="center"/>
          </w:tcPr>
          <w:p>
            <w:pPr>
              <w:pStyle w:val="TableContents"/>
              <w:bidi w:val="0"/>
              <w:spacing w:before="0" w:after="283"/>
              <w:jc w:val="right"/>
              <w:rPr/>
            </w:pPr>
            <w:r>
              <w:rPr/>
              <w:t>3,233,969</w:t>
            </w:r>
          </w:p>
        </w:tc>
        <w:tc>
          <w:tcPr>
            <w:tcW w:w="330" w:type="dxa"/>
            <w:tcBorders>
              <w:bottom w:val="single" w:sz="6" w:space="0" w:color="DCCD8A"/>
            </w:tcBorders>
            <w:tcMar>
              <w:bottom w:w="80" w:type="dxa"/>
            </w:tcMar>
            <w:vAlign w:val="center"/>
          </w:tcPr>
          <w:p>
            <w:pPr>
              <w:pStyle w:val="TableContents"/>
              <w:bidi w:val="0"/>
              <w:spacing w:before="0" w:after="283"/>
              <w:jc w:val="left"/>
              <w:rPr/>
            </w:pPr>
            <w:r>
              <w:rPr/>
              <w:t>(4)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91" w:type="dxa"/>
            <w:tcBorders>
              <w:bottom w:val="single" w:sz="6" w:space="0" w:color="DCCD8A"/>
            </w:tcBorders>
            <w:tcMar>
              <w:bottom w:w="80" w:type="dxa"/>
            </w:tcMar>
            <w:vAlign w:val="center"/>
          </w:tcPr>
          <w:p>
            <w:pPr>
              <w:pStyle w:val="TableContents"/>
              <w:bidi w:val="0"/>
              <w:spacing w:before="0" w:after="283"/>
              <w:jc w:val="left"/>
              <w:rPr/>
            </w:pPr>
            <w:r>
              <w:rPr/>
              <w:t> </w:t>
            </w:r>
          </w:p>
        </w:tc>
        <w:tc>
          <w:tcPr>
            <w:tcW w:w="1669" w:type="dxa"/>
            <w:tcBorders>
              <w:bottom w:val="single" w:sz="6" w:space="0" w:color="DCCD8A"/>
            </w:tcBorders>
            <w:tcMar>
              <w:bottom w:w="80" w:type="dxa"/>
            </w:tcMar>
            <w:vAlign w:val="center"/>
          </w:tcPr>
          <w:p>
            <w:pPr>
              <w:pStyle w:val="TableContents"/>
              <w:bidi w:val="0"/>
              <w:spacing w:before="0" w:after="283"/>
              <w:jc w:val="right"/>
              <w:rPr/>
            </w:pPr>
            <w:r>
              <w:rPr/>
              <w:t>4,825,319</w:t>
            </w:r>
          </w:p>
        </w:tc>
        <w:tc>
          <w:tcPr>
            <w:tcW w:w="78" w:type="dxa"/>
            <w:tcBorders>
              <w:bottom w:val="single" w:sz="6" w:space="0" w:color="DCCD8A"/>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bottom w:val="single" w:sz="8" w:space="0" w:color="B99C16"/>
            </w:tcBorders>
            <w:shd w:fill="F4F0DC" w:val="clear"/>
            <w:tcMar>
              <w:bottom w:w="80" w:type="dxa"/>
            </w:tcMar>
            <w:vAlign w:val="center"/>
          </w:tcPr>
          <w:p>
            <w:pPr>
              <w:pStyle w:val="TableContents"/>
              <w:bidi w:val="0"/>
              <w:spacing w:before="0" w:after="0"/>
              <w:jc w:val="left"/>
              <w:rPr/>
            </w:pPr>
            <w:r>
              <w:rPr/>
              <w:t> </w:t>
            </w:r>
            <w:r>
              <w:rPr>
                <w:rFonts w:ascii="arial" w:hAnsi="arial"/>
                <w:sz w:val="18"/>
              </w:rPr>
              <w:t>Involuntary or good reason termination within 2 years of a CIC</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3" w:type="dxa"/>
            <w:tcBorders>
              <w:bottom w:val="single" w:sz="8" w:space="0" w:color="B99C16"/>
            </w:tcBorders>
            <w:tcMar>
              <w:bottom w:w="80" w:type="dxa"/>
            </w:tcMar>
            <w:vAlign w:val="center"/>
          </w:tcPr>
          <w:p>
            <w:pPr>
              <w:pStyle w:val="TableContents"/>
              <w:bidi w:val="0"/>
              <w:spacing w:before="0" w:after="283"/>
              <w:jc w:val="left"/>
              <w:rPr/>
            </w:pPr>
            <w:r>
              <w:rPr/>
              <w:t> </w:t>
            </w:r>
          </w:p>
        </w:tc>
        <w:tc>
          <w:tcPr>
            <w:tcW w:w="1172" w:type="dxa"/>
            <w:tcBorders>
              <w:bottom w:val="single" w:sz="8" w:space="0" w:color="B99C16"/>
            </w:tcBorders>
            <w:tcMar>
              <w:bottom w:w="80" w:type="dxa"/>
            </w:tcMar>
            <w:vAlign w:val="center"/>
          </w:tcPr>
          <w:p>
            <w:pPr>
              <w:pStyle w:val="TableContents"/>
              <w:bidi w:val="0"/>
              <w:spacing w:before="0" w:after="283"/>
              <w:jc w:val="right"/>
              <w:rPr/>
            </w:pPr>
            <w:r>
              <w:rPr/>
              <w:t>7,324,012</w:t>
            </w:r>
          </w:p>
        </w:tc>
        <w:tc>
          <w:tcPr>
            <w:tcW w:w="33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0" w:type="dxa"/>
            <w:tcBorders>
              <w:bottom w:val="single" w:sz="8" w:space="0" w:color="B99C16"/>
            </w:tcBorders>
            <w:tcMar>
              <w:bottom w:w="80" w:type="dxa"/>
            </w:tcMar>
            <w:vAlign w:val="center"/>
          </w:tcPr>
          <w:p>
            <w:pPr>
              <w:pStyle w:val="TableContents"/>
              <w:bidi w:val="0"/>
              <w:spacing w:before="0" w:after="283"/>
              <w:jc w:val="left"/>
              <w:rPr/>
            </w:pPr>
            <w:r>
              <w:rPr/>
              <w:t> </w:t>
            </w:r>
          </w:p>
        </w:tc>
        <w:tc>
          <w:tcPr>
            <w:tcW w:w="1470" w:type="dxa"/>
            <w:tcBorders>
              <w:bottom w:val="single" w:sz="8" w:space="0" w:color="B99C16"/>
            </w:tcBorders>
            <w:tcMar>
              <w:bottom w:w="80" w:type="dxa"/>
            </w:tcMar>
            <w:vAlign w:val="center"/>
          </w:tcPr>
          <w:p>
            <w:pPr>
              <w:pStyle w:val="TableContents"/>
              <w:bidi w:val="0"/>
              <w:spacing w:before="0" w:after="283"/>
              <w:jc w:val="right"/>
              <w:rPr/>
            </w:pPr>
            <w:r>
              <w:rPr/>
              <w:t>4,927,243</w:t>
            </w:r>
          </w:p>
        </w:tc>
        <w:tc>
          <w:tcPr>
            <w:tcW w:w="330" w:type="dxa"/>
            <w:tcBorders>
              <w:bottom w:val="single" w:sz="8" w:space="0" w:color="B99C16"/>
            </w:tcBorders>
            <w:tcMar>
              <w:bottom w:w="80" w:type="dxa"/>
            </w:tcMar>
            <w:vAlign w:val="center"/>
          </w:tcPr>
          <w:p>
            <w:pPr>
              <w:pStyle w:val="TableContents"/>
              <w:bidi w:val="0"/>
              <w:spacing w:before="0" w:after="283"/>
              <w:jc w:val="left"/>
              <w:rPr/>
            </w:pPr>
            <w:r>
              <w:rPr/>
              <w:t>(5)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1" w:type="dxa"/>
            <w:tcBorders>
              <w:bottom w:val="single" w:sz="8" w:space="0" w:color="B99C16"/>
            </w:tcBorders>
            <w:tcMar>
              <w:bottom w:w="80" w:type="dxa"/>
            </w:tcMar>
            <w:vAlign w:val="center"/>
          </w:tcPr>
          <w:p>
            <w:pPr>
              <w:pStyle w:val="TableContents"/>
              <w:bidi w:val="0"/>
              <w:spacing w:before="0" w:after="283"/>
              <w:jc w:val="left"/>
              <w:rPr/>
            </w:pPr>
            <w:r>
              <w:rPr/>
              <w:t> </w:t>
            </w:r>
          </w:p>
        </w:tc>
        <w:tc>
          <w:tcPr>
            <w:tcW w:w="1669" w:type="dxa"/>
            <w:tcBorders>
              <w:bottom w:val="single" w:sz="8" w:space="0" w:color="B99C16"/>
            </w:tcBorders>
            <w:tcMar>
              <w:bottom w:w="80" w:type="dxa"/>
            </w:tcMar>
            <w:vAlign w:val="center"/>
          </w:tcPr>
          <w:p>
            <w:pPr>
              <w:pStyle w:val="TableContents"/>
              <w:bidi w:val="0"/>
              <w:spacing w:before="0" w:after="283"/>
              <w:jc w:val="right"/>
              <w:rPr/>
            </w:pPr>
            <w:r>
              <w:rPr/>
              <w:t>12,251,255</w:t>
            </w:r>
          </w:p>
        </w:tc>
        <w:tc>
          <w:tcPr>
            <w:tcW w:w="78" w:type="dxa"/>
            <w:tcBorders>
              <w:bottom w:val="single" w:sz="8" w:space="0" w:color="B99C16"/>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rFonts w:ascii="arial" w:hAnsi="arial"/>
                <w:b/>
                <w:color w:val="004876"/>
                <w:sz w:val="18"/>
              </w:rPr>
            </w:pPr>
            <w:r>
              <w:rPr>
                <w:rFonts w:ascii="arial" w:hAnsi="arial"/>
                <w:b/>
                <w:color w:val="004876"/>
                <w:sz w:val="18"/>
              </w:rPr>
              <w:t>Marcia A. Dall</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pPr>
            <w:r>
              <w:rPr/>
              <w:t> </w:t>
            </w:r>
            <w:r>
              <w:rPr>
                <w:rFonts w:ascii="arial" w:hAnsi="arial"/>
                <w:sz w:val="18"/>
              </w:rPr>
              <w:t>Involuntary or good reason termination</w:t>
            </w:r>
          </w:p>
        </w:tc>
        <w:tc>
          <w:tcPr>
            <w:tcW w:w="120" w:type="dxa"/>
            <w:tcBorders>
              <w:bottom w:val="single" w:sz="6" w:space="0" w:color="DCCD8A"/>
            </w:tcBorders>
            <w:tcMar>
              <w:bottom w:w="28" w:type="dxa"/>
            </w:tcMar>
            <w:vAlign w:val="center"/>
          </w:tcPr>
          <w:p>
            <w:pPr>
              <w:pStyle w:val="TableContents"/>
              <w:bidi w:val="0"/>
              <w:spacing w:before="0" w:after="283"/>
              <w:jc w:val="left"/>
              <w:rPr/>
            </w:pPr>
            <w:r>
              <w:rPr/>
              <w:t>  </w:t>
            </w:r>
          </w:p>
        </w:tc>
        <w:tc>
          <w:tcPr>
            <w:tcW w:w="63" w:type="dxa"/>
            <w:tcBorders>
              <w:bottom w:val="single" w:sz="6" w:space="0" w:color="DCCD8A"/>
            </w:tcBorders>
            <w:tcMar>
              <w:bottom w:w="80" w:type="dxa"/>
            </w:tcMar>
            <w:vAlign w:val="center"/>
          </w:tcPr>
          <w:p>
            <w:pPr>
              <w:pStyle w:val="TableContents"/>
              <w:bidi w:val="0"/>
              <w:spacing w:before="0" w:after="283"/>
              <w:jc w:val="left"/>
              <w:rPr/>
            </w:pPr>
            <w:r>
              <w:rPr/>
              <w:t> </w:t>
            </w:r>
          </w:p>
        </w:tc>
        <w:tc>
          <w:tcPr>
            <w:tcW w:w="1172" w:type="dxa"/>
            <w:tcBorders>
              <w:bottom w:val="single" w:sz="6" w:space="0" w:color="DCCD8A"/>
            </w:tcBorders>
            <w:tcMar>
              <w:bottom w:w="80" w:type="dxa"/>
            </w:tcMar>
            <w:vAlign w:val="center"/>
          </w:tcPr>
          <w:p>
            <w:pPr>
              <w:pStyle w:val="TableContents"/>
              <w:bidi w:val="0"/>
              <w:spacing w:before="0" w:after="283"/>
              <w:jc w:val="right"/>
              <w:rPr/>
            </w:pPr>
            <w:r>
              <w:rPr/>
              <w:t>2,993,967</w:t>
            </w:r>
          </w:p>
        </w:tc>
        <w:tc>
          <w:tcPr>
            <w:tcW w:w="330" w:type="dxa"/>
            <w:tcBorders>
              <w:bottom w:val="single" w:sz="6" w:space="0" w:color="DCCD8A"/>
            </w:tcBorders>
            <w:tcMar>
              <w:bottom w:w="80" w:type="dxa"/>
            </w:tcMar>
            <w:vAlign w:val="center"/>
          </w:tcPr>
          <w:p>
            <w:pPr>
              <w:pStyle w:val="TableContents"/>
              <w:bidi w:val="0"/>
              <w:spacing w:before="0" w:after="283"/>
              <w:jc w:val="left"/>
              <w:rPr/>
            </w:pPr>
            <w:r>
              <w:rPr/>
              <w:t>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80" w:type="dxa"/>
            <w:tcBorders>
              <w:bottom w:val="single" w:sz="6" w:space="0" w:color="DCCD8A"/>
            </w:tcBorders>
            <w:tcMar>
              <w:bottom w:w="80" w:type="dxa"/>
            </w:tcMar>
            <w:vAlign w:val="center"/>
          </w:tcPr>
          <w:p>
            <w:pPr>
              <w:pStyle w:val="TableContents"/>
              <w:bidi w:val="0"/>
              <w:spacing w:before="0" w:after="283"/>
              <w:jc w:val="left"/>
              <w:rPr/>
            </w:pPr>
            <w:r>
              <w:rPr/>
              <w:t> </w:t>
            </w:r>
          </w:p>
        </w:tc>
        <w:tc>
          <w:tcPr>
            <w:tcW w:w="1470" w:type="dxa"/>
            <w:tcBorders>
              <w:bottom w:val="single" w:sz="6" w:space="0" w:color="DCCD8A"/>
            </w:tcBorders>
            <w:tcMar>
              <w:bottom w:w="80" w:type="dxa"/>
            </w:tcMar>
            <w:vAlign w:val="center"/>
          </w:tcPr>
          <w:p>
            <w:pPr>
              <w:pStyle w:val="TableContents"/>
              <w:bidi w:val="0"/>
              <w:spacing w:before="0" w:after="283"/>
              <w:jc w:val="right"/>
              <w:rPr/>
            </w:pPr>
            <w:r>
              <w:rPr/>
              <w:t>2,079,292</w:t>
            </w:r>
          </w:p>
        </w:tc>
        <w:tc>
          <w:tcPr>
            <w:tcW w:w="330" w:type="dxa"/>
            <w:tcBorders>
              <w:bottom w:val="single" w:sz="6" w:space="0" w:color="DCCD8A"/>
            </w:tcBorders>
            <w:tcMar>
              <w:bottom w:w="80" w:type="dxa"/>
            </w:tcMar>
            <w:vAlign w:val="center"/>
          </w:tcPr>
          <w:p>
            <w:pPr>
              <w:pStyle w:val="TableContents"/>
              <w:bidi w:val="0"/>
              <w:spacing w:before="0" w:after="283"/>
              <w:jc w:val="left"/>
              <w:rPr/>
            </w:pPr>
            <w:r>
              <w:rPr/>
              <w:t>(3)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91" w:type="dxa"/>
            <w:tcBorders>
              <w:bottom w:val="single" w:sz="6" w:space="0" w:color="DCCD8A"/>
            </w:tcBorders>
            <w:tcMar>
              <w:bottom w:w="80" w:type="dxa"/>
            </w:tcMar>
            <w:vAlign w:val="center"/>
          </w:tcPr>
          <w:p>
            <w:pPr>
              <w:pStyle w:val="TableContents"/>
              <w:bidi w:val="0"/>
              <w:spacing w:before="0" w:after="283"/>
              <w:jc w:val="left"/>
              <w:rPr/>
            </w:pPr>
            <w:r>
              <w:rPr/>
              <w:t> </w:t>
            </w:r>
          </w:p>
        </w:tc>
        <w:tc>
          <w:tcPr>
            <w:tcW w:w="1669" w:type="dxa"/>
            <w:tcBorders>
              <w:bottom w:val="single" w:sz="6" w:space="0" w:color="DCCD8A"/>
            </w:tcBorders>
            <w:tcMar>
              <w:bottom w:w="80" w:type="dxa"/>
            </w:tcMar>
            <w:vAlign w:val="center"/>
          </w:tcPr>
          <w:p>
            <w:pPr>
              <w:pStyle w:val="TableContents"/>
              <w:bidi w:val="0"/>
              <w:spacing w:before="0" w:after="283"/>
              <w:jc w:val="right"/>
              <w:rPr/>
            </w:pPr>
            <w:r>
              <w:rPr/>
              <w:t>5,073,259</w:t>
            </w:r>
          </w:p>
        </w:tc>
        <w:tc>
          <w:tcPr>
            <w:tcW w:w="78" w:type="dxa"/>
            <w:tcBorders>
              <w:bottom w:val="single" w:sz="6" w:space="0" w:color="DCCD8A"/>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pPr>
            <w:r>
              <w:rPr/>
              <w:t> </w:t>
            </w:r>
            <w:r>
              <w:rPr>
                <w:rFonts w:ascii="arial" w:hAnsi="arial"/>
                <w:sz w:val="18"/>
              </w:rPr>
              <w:t>Change in control without termination</w:t>
            </w:r>
          </w:p>
        </w:tc>
        <w:tc>
          <w:tcPr>
            <w:tcW w:w="120" w:type="dxa"/>
            <w:tcBorders>
              <w:bottom w:val="single" w:sz="6" w:space="0" w:color="DCCD8A"/>
            </w:tcBorders>
            <w:tcMar>
              <w:bottom w:w="28" w:type="dxa"/>
            </w:tcMar>
            <w:vAlign w:val="center"/>
          </w:tcPr>
          <w:p>
            <w:pPr>
              <w:pStyle w:val="TableContents"/>
              <w:bidi w:val="0"/>
              <w:spacing w:before="0" w:after="283"/>
              <w:jc w:val="left"/>
              <w:rPr/>
            </w:pPr>
            <w:r>
              <w:rPr/>
              <w:t>  </w:t>
            </w:r>
          </w:p>
        </w:tc>
        <w:tc>
          <w:tcPr>
            <w:tcW w:w="63" w:type="dxa"/>
            <w:tcBorders>
              <w:bottom w:val="single" w:sz="6" w:space="0" w:color="DCCD8A"/>
            </w:tcBorders>
            <w:tcMar>
              <w:bottom w:w="80" w:type="dxa"/>
            </w:tcMar>
            <w:vAlign w:val="center"/>
          </w:tcPr>
          <w:p>
            <w:pPr>
              <w:pStyle w:val="TableContents"/>
              <w:bidi w:val="0"/>
              <w:spacing w:before="0" w:after="283"/>
              <w:jc w:val="left"/>
              <w:rPr/>
            </w:pPr>
            <w:r>
              <w:rPr/>
              <w:t> </w:t>
            </w:r>
          </w:p>
        </w:tc>
        <w:tc>
          <w:tcPr>
            <w:tcW w:w="1172" w:type="dxa"/>
            <w:tcBorders>
              <w:bottom w:val="single" w:sz="6" w:space="0" w:color="DCCD8A"/>
            </w:tcBorders>
            <w:tcMar>
              <w:bottom w:w="80" w:type="dxa"/>
            </w:tcMar>
            <w:vAlign w:val="center"/>
          </w:tcPr>
          <w:p>
            <w:pPr>
              <w:pStyle w:val="TableContents"/>
              <w:bidi w:val="0"/>
              <w:spacing w:before="0" w:after="283"/>
              <w:jc w:val="right"/>
              <w:rPr/>
            </w:pPr>
            <w:r>
              <w:rPr/>
              <w:t>-0-</w:t>
            </w:r>
          </w:p>
        </w:tc>
        <w:tc>
          <w:tcPr>
            <w:tcW w:w="330" w:type="dxa"/>
            <w:tcBorders>
              <w:bottom w:val="single" w:sz="6" w:space="0" w:color="DCCD8A"/>
            </w:tcBorders>
            <w:tcMar>
              <w:bottom w:w="80" w:type="dxa"/>
            </w:tcMar>
            <w:vAlign w:val="center"/>
          </w:tcPr>
          <w:p>
            <w:pPr>
              <w:pStyle w:val="TableContents"/>
              <w:bidi w:val="0"/>
              <w:spacing w:before="0" w:after="283"/>
              <w:jc w:val="left"/>
              <w:rPr/>
            </w:pPr>
            <w:r>
              <w:rPr/>
              <w:t>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80" w:type="dxa"/>
            <w:tcBorders>
              <w:bottom w:val="single" w:sz="6" w:space="0" w:color="DCCD8A"/>
            </w:tcBorders>
            <w:tcMar>
              <w:bottom w:w="80" w:type="dxa"/>
            </w:tcMar>
            <w:vAlign w:val="center"/>
          </w:tcPr>
          <w:p>
            <w:pPr>
              <w:pStyle w:val="TableContents"/>
              <w:bidi w:val="0"/>
              <w:spacing w:before="0" w:after="283"/>
              <w:jc w:val="left"/>
              <w:rPr/>
            </w:pPr>
            <w:r>
              <w:rPr/>
              <w:t> </w:t>
            </w:r>
          </w:p>
        </w:tc>
        <w:tc>
          <w:tcPr>
            <w:tcW w:w="1470" w:type="dxa"/>
            <w:tcBorders>
              <w:bottom w:val="single" w:sz="6" w:space="0" w:color="DCCD8A"/>
            </w:tcBorders>
            <w:tcMar>
              <w:bottom w:w="80" w:type="dxa"/>
            </w:tcMar>
            <w:vAlign w:val="center"/>
          </w:tcPr>
          <w:p>
            <w:pPr>
              <w:pStyle w:val="TableContents"/>
              <w:bidi w:val="0"/>
              <w:spacing w:before="0" w:after="283"/>
              <w:jc w:val="right"/>
              <w:rPr/>
            </w:pPr>
            <w:r>
              <w:rPr/>
              <w:t>-0-</w:t>
            </w:r>
          </w:p>
        </w:tc>
        <w:tc>
          <w:tcPr>
            <w:tcW w:w="330" w:type="dxa"/>
            <w:tcBorders>
              <w:bottom w:val="single" w:sz="6" w:space="0" w:color="DCCD8A"/>
            </w:tcBorders>
            <w:tcMar>
              <w:bottom w:w="80" w:type="dxa"/>
            </w:tcMar>
            <w:vAlign w:val="center"/>
          </w:tcPr>
          <w:p>
            <w:pPr>
              <w:pStyle w:val="TableContents"/>
              <w:bidi w:val="0"/>
              <w:spacing w:before="0" w:after="283"/>
              <w:jc w:val="left"/>
              <w:rPr/>
            </w:pPr>
            <w:r>
              <w:rPr/>
              <w:t>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91" w:type="dxa"/>
            <w:tcBorders>
              <w:bottom w:val="single" w:sz="6" w:space="0" w:color="DCCD8A"/>
            </w:tcBorders>
            <w:tcMar>
              <w:bottom w:w="80" w:type="dxa"/>
            </w:tcMar>
            <w:vAlign w:val="center"/>
          </w:tcPr>
          <w:p>
            <w:pPr>
              <w:pStyle w:val="TableContents"/>
              <w:bidi w:val="0"/>
              <w:spacing w:before="0" w:after="283"/>
              <w:jc w:val="left"/>
              <w:rPr/>
            </w:pPr>
            <w:r>
              <w:rPr/>
              <w:t> </w:t>
            </w:r>
          </w:p>
        </w:tc>
        <w:tc>
          <w:tcPr>
            <w:tcW w:w="1669" w:type="dxa"/>
            <w:tcBorders>
              <w:bottom w:val="single" w:sz="6" w:space="0" w:color="DCCD8A"/>
            </w:tcBorders>
            <w:tcMar>
              <w:bottom w:w="80" w:type="dxa"/>
            </w:tcMar>
            <w:vAlign w:val="center"/>
          </w:tcPr>
          <w:p>
            <w:pPr>
              <w:pStyle w:val="TableContents"/>
              <w:bidi w:val="0"/>
              <w:spacing w:before="0" w:after="283"/>
              <w:jc w:val="right"/>
              <w:rPr/>
            </w:pPr>
            <w:r>
              <w:rPr/>
              <w:t>-0-</w:t>
            </w:r>
          </w:p>
        </w:tc>
        <w:tc>
          <w:tcPr>
            <w:tcW w:w="78" w:type="dxa"/>
            <w:tcBorders>
              <w:bottom w:val="single" w:sz="6" w:space="0" w:color="DCCD8A"/>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pPr>
            <w:r>
              <w:rPr/>
              <w:t> </w:t>
            </w:r>
            <w:r>
              <w:rPr>
                <w:rFonts w:ascii="arial" w:hAnsi="arial"/>
                <w:sz w:val="18"/>
              </w:rPr>
              <w:t>Death or Disability</w:t>
            </w:r>
          </w:p>
        </w:tc>
        <w:tc>
          <w:tcPr>
            <w:tcW w:w="120" w:type="dxa"/>
            <w:tcBorders>
              <w:bottom w:val="single" w:sz="6" w:space="0" w:color="DCCD8A"/>
            </w:tcBorders>
            <w:tcMar>
              <w:bottom w:w="28" w:type="dxa"/>
            </w:tcMar>
            <w:vAlign w:val="center"/>
          </w:tcPr>
          <w:p>
            <w:pPr>
              <w:pStyle w:val="TableContents"/>
              <w:bidi w:val="0"/>
              <w:spacing w:before="0" w:after="283"/>
              <w:jc w:val="left"/>
              <w:rPr/>
            </w:pPr>
            <w:r>
              <w:rPr/>
              <w:t>  </w:t>
            </w:r>
          </w:p>
        </w:tc>
        <w:tc>
          <w:tcPr>
            <w:tcW w:w="63" w:type="dxa"/>
            <w:tcBorders>
              <w:bottom w:val="single" w:sz="6" w:space="0" w:color="DCCD8A"/>
            </w:tcBorders>
            <w:tcMar>
              <w:bottom w:w="80" w:type="dxa"/>
            </w:tcMar>
            <w:vAlign w:val="center"/>
          </w:tcPr>
          <w:p>
            <w:pPr>
              <w:pStyle w:val="TableContents"/>
              <w:bidi w:val="0"/>
              <w:spacing w:before="0" w:after="283"/>
              <w:jc w:val="left"/>
              <w:rPr/>
            </w:pPr>
            <w:r>
              <w:rPr/>
              <w:t> </w:t>
            </w:r>
          </w:p>
        </w:tc>
        <w:tc>
          <w:tcPr>
            <w:tcW w:w="1172" w:type="dxa"/>
            <w:tcBorders>
              <w:bottom w:val="single" w:sz="6" w:space="0" w:color="DCCD8A"/>
            </w:tcBorders>
            <w:tcMar>
              <w:bottom w:w="80" w:type="dxa"/>
            </w:tcMar>
            <w:vAlign w:val="center"/>
          </w:tcPr>
          <w:p>
            <w:pPr>
              <w:pStyle w:val="TableContents"/>
              <w:bidi w:val="0"/>
              <w:spacing w:before="0" w:after="283"/>
              <w:jc w:val="right"/>
              <w:rPr/>
            </w:pPr>
            <w:r>
              <w:rPr/>
              <w:t>1,045,000</w:t>
            </w:r>
          </w:p>
        </w:tc>
        <w:tc>
          <w:tcPr>
            <w:tcW w:w="330" w:type="dxa"/>
            <w:tcBorders>
              <w:bottom w:val="single" w:sz="6" w:space="0" w:color="DCCD8A"/>
            </w:tcBorders>
            <w:tcMar>
              <w:bottom w:w="80" w:type="dxa"/>
            </w:tcMar>
            <w:vAlign w:val="center"/>
          </w:tcPr>
          <w:p>
            <w:pPr>
              <w:pStyle w:val="TableContents"/>
              <w:bidi w:val="0"/>
              <w:spacing w:before="0" w:after="283"/>
              <w:jc w:val="left"/>
              <w:rPr/>
            </w:pPr>
            <w:r>
              <w:rPr/>
              <w:t>(2)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80" w:type="dxa"/>
            <w:tcBorders>
              <w:bottom w:val="single" w:sz="6" w:space="0" w:color="DCCD8A"/>
            </w:tcBorders>
            <w:tcMar>
              <w:bottom w:w="80" w:type="dxa"/>
            </w:tcMar>
            <w:vAlign w:val="center"/>
          </w:tcPr>
          <w:p>
            <w:pPr>
              <w:pStyle w:val="TableContents"/>
              <w:bidi w:val="0"/>
              <w:spacing w:before="0" w:after="283"/>
              <w:jc w:val="left"/>
              <w:rPr/>
            </w:pPr>
            <w:r>
              <w:rPr/>
              <w:t> </w:t>
            </w:r>
          </w:p>
        </w:tc>
        <w:tc>
          <w:tcPr>
            <w:tcW w:w="1470" w:type="dxa"/>
            <w:tcBorders>
              <w:bottom w:val="single" w:sz="6" w:space="0" w:color="DCCD8A"/>
            </w:tcBorders>
            <w:tcMar>
              <w:bottom w:w="80" w:type="dxa"/>
            </w:tcMar>
            <w:vAlign w:val="center"/>
          </w:tcPr>
          <w:p>
            <w:pPr>
              <w:pStyle w:val="TableContents"/>
              <w:bidi w:val="0"/>
              <w:spacing w:before="0" w:after="283"/>
              <w:jc w:val="right"/>
              <w:rPr/>
            </w:pPr>
            <w:r>
              <w:rPr/>
              <w:t>2,079,292</w:t>
            </w:r>
          </w:p>
        </w:tc>
        <w:tc>
          <w:tcPr>
            <w:tcW w:w="330" w:type="dxa"/>
            <w:tcBorders>
              <w:bottom w:val="single" w:sz="6" w:space="0" w:color="DCCD8A"/>
            </w:tcBorders>
            <w:tcMar>
              <w:bottom w:w="80" w:type="dxa"/>
            </w:tcMar>
            <w:vAlign w:val="center"/>
          </w:tcPr>
          <w:p>
            <w:pPr>
              <w:pStyle w:val="TableContents"/>
              <w:bidi w:val="0"/>
              <w:spacing w:before="0" w:after="283"/>
              <w:jc w:val="left"/>
              <w:rPr/>
            </w:pPr>
            <w:r>
              <w:rPr/>
              <w:t>(4)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91" w:type="dxa"/>
            <w:tcBorders>
              <w:bottom w:val="single" w:sz="6" w:space="0" w:color="DCCD8A"/>
            </w:tcBorders>
            <w:tcMar>
              <w:bottom w:w="80" w:type="dxa"/>
            </w:tcMar>
            <w:vAlign w:val="center"/>
          </w:tcPr>
          <w:p>
            <w:pPr>
              <w:pStyle w:val="TableContents"/>
              <w:bidi w:val="0"/>
              <w:spacing w:before="0" w:after="283"/>
              <w:jc w:val="left"/>
              <w:rPr/>
            </w:pPr>
            <w:r>
              <w:rPr/>
              <w:t> </w:t>
            </w:r>
          </w:p>
        </w:tc>
        <w:tc>
          <w:tcPr>
            <w:tcW w:w="1669" w:type="dxa"/>
            <w:tcBorders>
              <w:bottom w:val="single" w:sz="6" w:space="0" w:color="DCCD8A"/>
            </w:tcBorders>
            <w:tcMar>
              <w:bottom w:w="80" w:type="dxa"/>
            </w:tcMar>
            <w:vAlign w:val="center"/>
          </w:tcPr>
          <w:p>
            <w:pPr>
              <w:pStyle w:val="TableContents"/>
              <w:bidi w:val="0"/>
              <w:spacing w:before="0" w:after="283"/>
              <w:jc w:val="right"/>
              <w:rPr/>
            </w:pPr>
            <w:r>
              <w:rPr/>
              <w:t>3,124,292</w:t>
            </w:r>
          </w:p>
        </w:tc>
        <w:tc>
          <w:tcPr>
            <w:tcW w:w="78" w:type="dxa"/>
            <w:tcBorders>
              <w:bottom w:val="single" w:sz="6" w:space="0" w:color="DCCD8A"/>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bottom w:val="single" w:sz="8" w:space="0" w:color="B99C16"/>
            </w:tcBorders>
            <w:shd w:fill="F4F0DC" w:val="clear"/>
            <w:tcMar>
              <w:bottom w:w="80" w:type="dxa"/>
            </w:tcMar>
            <w:vAlign w:val="center"/>
          </w:tcPr>
          <w:p>
            <w:pPr>
              <w:pStyle w:val="TableContents"/>
              <w:bidi w:val="0"/>
              <w:spacing w:before="0" w:after="0"/>
              <w:jc w:val="left"/>
              <w:rPr/>
            </w:pPr>
            <w:r>
              <w:rPr/>
              <w:t> </w:t>
            </w:r>
            <w:r>
              <w:rPr>
                <w:rFonts w:ascii="arial" w:hAnsi="arial"/>
                <w:sz w:val="18"/>
              </w:rPr>
              <w:t>Involuntary or good reason termination within 2 years of a CIC</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3" w:type="dxa"/>
            <w:tcBorders>
              <w:bottom w:val="single" w:sz="8" w:space="0" w:color="B99C16"/>
            </w:tcBorders>
            <w:tcMar>
              <w:bottom w:w="80" w:type="dxa"/>
            </w:tcMar>
            <w:vAlign w:val="center"/>
          </w:tcPr>
          <w:p>
            <w:pPr>
              <w:pStyle w:val="TableContents"/>
              <w:bidi w:val="0"/>
              <w:spacing w:before="0" w:after="283"/>
              <w:jc w:val="left"/>
              <w:rPr/>
            </w:pPr>
            <w:r>
              <w:rPr/>
              <w:t> </w:t>
            </w:r>
          </w:p>
        </w:tc>
        <w:tc>
          <w:tcPr>
            <w:tcW w:w="1172" w:type="dxa"/>
            <w:tcBorders>
              <w:bottom w:val="single" w:sz="8" w:space="0" w:color="B99C16"/>
            </w:tcBorders>
            <w:tcMar>
              <w:bottom w:w="80" w:type="dxa"/>
            </w:tcMar>
            <w:vAlign w:val="center"/>
          </w:tcPr>
          <w:p>
            <w:pPr>
              <w:pStyle w:val="TableContents"/>
              <w:bidi w:val="0"/>
              <w:spacing w:before="0" w:after="283"/>
              <w:jc w:val="right"/>
              <w:rPr/>
            </w:pPr>
            <w:r>
              <w:rPr/>
              <w:t>3,991,467</w:t>
            </w:r>
          </w:p>
        </w:tc>
        <w:tc>
          <w:tcPr>
            <w:tcW w:w="33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0" w:type="dxa"/>
            <w:tcBorders>
              <w:bottom w:val="single" w:sz="8" w:space="0" w:color="B99C16"/>
            </w:tcBorders>
            <w:tcMar>
              <w:bottom w:w="80" w:type="dxa"/>
            </w:tcMar>
            <w:vAlign w:val="center"/>
          </w:tcPr>
          <w:p>
            <w:pPr>
              <w:pStyle w:val="TableContents"/>
              <w:bidi w:val="0"/>
              <w:spacing w:before="0" w:after="283"/>
              <w:jc w:val="left"/>
              <w:rPr/>
            </w:pPr>
            <w:r>
              <w:rPr/>
              <w:t> </w:t>
            </w:r>
          </w:p>
        </w:tc>
        <w:tc>
          <w:tcPr>
            <w:tcW w:w="1470" w:type="dxa"/>
            <w:tcBorders>
              <w:bottom w:val="single" w:sz="8" w:space="0" w:color="B99C16"/>
            </w:tcBorders>
            <w:tcMar>
              <w:bottom w:w="80" w:type="dxa"/>
            </w:tcMar>
            <w:vAlign w:val="center"/>
          </w:tcPr>
          <w:p>
            <w:pPr>
              <w:pStyle w:val="TableContents"/>
              <w:bidi w:val="0"/>
              <w:spacing w:before="0" w:after="283"/>
              <w:jc w:val="right"/>
              <w:rPr/>
            </w:pPr>
            <w:r>
              <w:rPr/>
              <w:t>3,126,219</w:t>
            </w:r>
          </w:p>
        </w:tc>
        <w:tc>
          <w:tcPr>
            <w:tcW w:w="330" w:type="dxa"/>
            <w:tcBorders>
              <w:bottom w:val="single" w:sz="8" w:space="0" w:color="B99C16"/>
            </w:tcBorders>
            <w:tcMar>
              <w:bottom w:w="80" w:type="dxa"/>
            </w:tcMar>
            <w:vAlign w:val="center"/>
          </w:tcPr>
          <w:p>
            <w:pPr>
              <w:pStyle w:val="TableContents"/>
              <w:bidi w:val="0"/>
              <w:spacing w:before="0" w:after="283"/>
              <w:jc w:val="left"/>
              <w:rPr/>
            </w:pPr>
            <w:r>
              <w:rPr/>
              <w:t>(5)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1" w:type="dxa"/>
            <w:tcBorders>
              <w:bottom w:val="single" w:sz="8" w:space="0" w:color="B99C16"/>
            </w:tcBorders>
            <w:tcMar>
              <w:bottom w:w="80" w:type="dxa"/>
            </w:tcMar>
            <w:vAlign w:val="center"/>
          </w:tcPr>
          <w:p>
            <w:pPr>
              <w:pStyle w:val="TableContents"/>
              <w:bidi w:val="0"/>
              <w:spacing w:before="0" w:after="283"/>
              <w:jc w:val="left"/>
              <w:rPr/>
            </w:pPr>
            <w:r>
              <w:rPr/>
              <w:t> </w:t>
            </w:r>
          </w:p>
        </w:tc>
        <w:tc>
          <w:tcPr>
            <w:tcW w:w="1669" w:type="dxa"/>
            <w:tcBorders>
              <w:bottom w:val="single" w:sz="8" w:space="0" w:color="B99C16"/>
            </w:tcBorders>
            <w:tcMar>
              <w:bottom w:w="80" w:type="dxa"/>
            </w:tcMar>
            <w:vAlign w:val="center"/>
          </w:tcPr>
          <w:p>
            <w:pPr>
              <w:pStyle w:val="TableContents"/>
              <w:bidi w:val="0"/>
              <w:spacing w:before="0" w:after="283"/>
              <w:jc w:val="right"/>
              <w:rPr/>
            </w:pPr>
            <w:r>
              <w:rPr/>
              <w:t>7,117,686</w:t>
            </w:r>
          </w:p>
        </w:tc>
        <w:tc>
          <w:tcPr>
            <w:tcW w:w="78" w:type="dxa"/>
            <w:tcBorders>
              <w:bottom w:val="single" w:sz="8" w:space="0" w:color="B99C16"/>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rFonts w:ascii="arial" w:hAnsi="arial"/>
                <w:b/>
                <w:color w:val="004876"/>
                <w:sz w:val="18"/>
              </w:rPr>
            </w:pPr>
            <w:r>
              <w:rPr>
                <w:rFonts w:ascii="arial" w:hAnsi="arial"/>
                <w:b/>
                <w:color w:val="004876"/>
                <w:sz w:val="18"/>
              </w:rPr>
              <w:t>Bradley K. Blackwell</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pPr>
            <w:r>
              <w:rPr/>
              <w:t> </w:t>
            </w:r>
            <w:r>
              <w:rPr>
                <w:rFonts w:ascii="arial" w:hAnsi="arial"/>
                <w:sz w:val="18"/>
              </w:rPr>
              <w:t>Involuntary or good reason termination</w:t>
            </w:r>
          </w:p>
        </w:tc>
        <w:tc>
          <w:tcPr>
            <w:tcW w:w="120" w:type="dxa"/>
            <w:tcBorders>
              <w:bottom w:val="single" w:sz="6" w:space="0" w:color="DCCD8A"/>
            </w:tcBorders>
            <w:tcMar>
              <w:bottom w:w="28" w:type="dxa"/>
            </w:tcMar>
            <w:vAlign w:val="center"/>
          </w:tcPr>
          <w:p>
            <w:pPr>
              <w:pStyle w:val="TableContents"/>
              <w:bidi w:val="0"/>
              <w:spacing w:before="0" w:after="283"/>
              <w:jc w:val="left"/>
              <w:rPr/>
            </w:pPr>
            <w:r>
              <w:rPr/>
              <w:t>  </w:t>
            </w:r>
          </w:p>
        </w:tc>
        <w:tc>
          <w:tcPr>
            <w:tcW w:w="63" w:type="dxa"/>
            <w:tcBorders>
              <w:bottom w:val="single" w:sz="6" w:space="0" w:color="DCCD8A"/>
            </w:tcBorders>
            <w:tcMar>
              <w:bottom w:w="80" w:type="dxa"/>
            </w:tcMar>
            <w:vAlign w:val="center"/>
          </w:tcPr>
          <w:p>
            <w:pPr>
              <w:pStyle w:val="TableContents"/>
              <w:bidi w:val="0"/>
              <w:spacing w:before="0" w:after="283"/>
              <w:jc w:val="left"/>
              <w:rPr/>
            </w:pPr>
            <w:r>
              <w:rPr/>
              <w:t> </w:t>
            </w:r>
          </w:p>
        </w:tc>
        <w:tc>
          <w:tcPr>
            <w:tcW w:w="1172" w:type="dxa"/>
            <w:tcBorders>
              <w:bottom w:val="single" w:sz="6" w:space="0" w:color="DCCD8A"/>
            </w:tcBorders>
            <w:tcMar>
              <w:bottom w:w="80" w:type="dxa"/>
            </w:tcMar>
            <w:vAlign w:val="center"/>
          </w:tcPr>
          <w:p>
            <w:pPr>
              <w:pStyle w:val="TableContents"/>
              <w:bidi w:val="0"/>
              <w:spacing w:before="0" w:after="283"/>
              <w:jc w:val="right"/>
              <w:rPr/>
            </w:pPr>
            <w:r>
              <w:rPr/>
              <w:t>2,331,069</w:t>
            </w:r>
          </w:p>
        </w:tc>
        <w:tc>
          <w:tcPr>
            <w:tcW w:w="330" w:type="dxa"/>
            <w:tcBorders>
              <w:bottom w:val="single" w:sz="6" w:space="0" w:color="DCCD8A"/>
            </w:tcBorders>
            <w:tcMar>
              <w:bottom w:w="80" w:type="dxa"/>
            </w:tcMar>
            <w:vAlign w:val="center"/>
          </w:tcPr>
          <w:p>
            <w:pPr>
              <w:pStyle w:val="TableContents"/>
              <w:bidi w:val="0"/>
              <w:spacing w:before="0" w:after="283"/>
              <w:jc w:val="left"/>
              <w:rPr/>
            </w:pPr>
            <w:r>
              <w:rPr/>
              <w:t>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80" w:type="dxa"/>
            <w:tcBorders>
              <w:bottom w:val="single" w:sz="6" w:space="0" w:color="DCCD8A"/>
            </w:tcBorders>
            <w:tcMar>
              <w:bottom w:w="80" w:type="dxa"/>
            </w:tcMar>
            <w:vAlign w:val="center"/>
          </w:tcPr>
          <w:p>
            <w:pPr>
              <w:pStyle w:val="TableContents"/>
              <w:bidi w:val="0"/>
              <w:spacing w:before="0" w:after="283"/>
              <w:jc w:val="left"/>
              <w:rPr/>
            </w:pPr>
            <w:r>
              <w:rPr/>
              <w:t> </w:t>
            </w:r>
          </w:p>
        </w:tc>
        <w:tc>
          <w:tcPr>
            <w:tcW w:w="1470" w:type="dxa"/>
            <w:tcBorders>
              <w:bottom w:val="single" w:sz="6" w:space="0" w:color="DCCD8A"/>
            </w:tcBorders>
            <w:tcMar>
              <w:bottom w:w="80" w:type="dxa"/>
            </w:tcMar>
            <w:vAlign w:val="center"/>
          </w:tcPr>
          <w:p>
            <w:pPr>
              <w:pStyle w:val="TableContents"/>
              <w:bidi w:val="0"/>
              <w:spacing w:before="0" w:after="283"/>
              <w:jc w:val="right"/>
              <w:rPr/>
            </w:pPr>
            <w:r>
              <w:rPr/>
              <w:t>1,293,565</w:t>
            </w:r>
          </w:p>
        </w:tc>
        <w:tc>
          <w:tcPr>
            <w:tcW w:w="330" w:type="dxa"/>
            <w:tcBorders>
              <w:bottom w:val="single" w:sz="6" w:space="0" w:color="DCCD8A"/>
            </w:tcBorders>
            <w:tcMar>
              <w:bottom w:w="80" w:type="dxa"/>
            </w:tcMar>
            <w:vAlign w:val="center"/>
          </w:tcPr>
          <w:p>
            <w:pPr>
              <w:pStyle w:val="TableContents"/>
              <w:bidi w:val="0"/>
              <w:spacing w:before="0" w:after="283"/>
              <w:jc w:val="left"/>
              <w:rPr/>
            </w:pPr>
            <w:r>
              <w:rPr/>
              <w:t>(3)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91" w:type="dxa"/>
            <w:tcBorders>
              <w:bottom w:val="single" w:sz="6" w:space="0" w:color="DCCD8A"/>
            </w:tcBorders>
            <w:tcMar>
              <w:bottom w:w="80" w:type="dxa"/>
            </w:tcMar>
            <w:vAlign w:val="center"/>
          </w:tcPr>
          <w:p>
            <w:pPr>
              <w:pStyle w:val="TableContents"/>
              <w:bidi w:val="0"/>
              <w:spacing w:before="0" w:after="283"/>
              <w:jc w:val="left"/>
              <w:rPr/>
            </w:pPr>
            <w:r>
              <w:rPr/>
              <w:t> </w:t>
            </w:r>
          </w:p>
        </w:tc>
        <w:tc>
          <w:tcPr>
            <w:tcW w:w="1669" w:type="dxa"/>
            <w:tcBorders>
              <w:bottom w:val="single" w:sz="6" w:space="0" w:color="DCCD8A"/>
            </w:tcBorders>
            <w:tcMar>
              <w:bottom w:w="80" w:type="dxa"/>
            </w:tcMar>
            <w:vAlign w:val="center"/>
          </w:tcPr>
          <w:p>
            <w:pPr>
              <w:pStyle w:val="TableContents"/>
              <w:bidi w:val="0"/>
              <w:spacing w:before="0" w:after="283"/>
              <w:jc w:val="right"/>
              <w:rPr/>
            </w:pPr>
            <w:r>
              <w:rPr/>
              <w:t>3,624,634</w:t>
            </w:r>
          </w:p>
        </w:tc>
        <w:tc>
          <w:tcPr>
            <w:tcW w:w="78" w:type="dxa"/>
            <w:tcBorders>
              <w:bottom w:val="single" w:sz="6" w:space="0" w:color="DCCD8A"/>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pPr>
            <w:r>
              <w:rPr/>
              <w:t> </w:t>
            </w:r>
            <w:r>
              <w:rPr>
                <w:rFonts w:ascii="arial" w:hAnsi="arial"/>
                <w:sz w:val="18"/>
              </w:rPr>
              <w:t>Change in control without termination</w:t>
            </w:r>
          </w:p>
        </w:tc>
        <w:tc>
          <w:tcPr>
            <w:tcW w:w="120" w:type="dxa"/>
            <w:tcBorders>
              <w:bottom w:val="single" w:sz="6" w:space="0" w:color="DCCD8A"/>
            </w:tcBorders>
            <w:tcMar>
              <w:bottom w:w="28" w:type="dxa"/>
            </w:tcMar>
            <w:vAlign w:val="center"/>
          </w:tcPr>
          <w:p>
            <w:pPr>
              <w:pStyle w:val="TableContents"/>
              <w:bidi w:val="0"/>
              <w:spacing w:before="0" w:after="283"/>
              <w:jc w:val="left"/>
              <w:rPr/>
            </w:pPr>
            <w:r>
              <w:rPr/>
              <w:t>  </w:t>
            </w:r>
          </w:p>
        </w:tc>
        <w:tc>
          <w:tcPr>
            <w:tcW w:w="63" w:type="dxa"/>
            <w:tcBorders>
              <w:bottom w:val="single" w:sz="6" w:space="0" w:color="DCCD8A"/>
            </w:tcBorders>
            <w:tcMar>
              <w:bottom w:w="80" w:type="dxa"/>
            </w:tcMar>
            <w:vAlign w:val="center"/>
          </w:tcPr>
          <w:p>
            <w:pPr>
              <w:pStyle w:val="TableContents"/>
              <w:bidi w:val="0"/>
              <w:spacing w:before="0" w:after="283"/>
              <w:jc w:val="left"/>
              <w:rPr/>
            </w:pPr>
            <w:r>
              <w:rPr/>
              <w:t> </w:t>
            </w:r>
          </w:p>
        </w:tc>
        <w:tc>
          <w:tcPr>
            <w:tcW w:w="1172" w:type="dxa"/>
            <w:tcBorders>
              <w:bottom w:val="single" w:sz="6" w:space="0" w:color="DCCD8A"/>
            </w:tcBorders>
            <w:tcMar>
              <w:bottom w:w="80" w:type="dxa"/>
            </w:tcMar>
            <w:vAlign w:val="center"/>
          </w:tcPr>
          <w:p>
            <w:pPr>
              <w:pStyle w:val="TableContents"/>
              <w:bidi w:val="0"/>
              <w:spacing w:before="0" w:after="283"/>
              <w:jc w:val="right"/>
              <w:rPr/>
            </w:pPr>
            <w:r>
              <w:rPr/>
              <w:t>-0-</w:t>
            </w:r>
          </w:p>
        </w:tc>
        <w:tc>
          <w:tcPr>
            <w:tcW w:w="330" w:type="dxa"/>
            <w:tcBorders>
              <w:bottom w:val="single" w:sz="6" w:space="0" w:color="DCCD8A"/>
            </w:tcBorders>
            <w:tcMar>
              <w:bottom w:w="80" w:type="dxa"/>
            </w:tcMar>
            <w:vAlign w:val="center"/>
          </w:tcPr>
          <w:p>
            <w:pPr>
              <w:pStyle w:val="TableContents"/>
              <w:bidi w:val="0"/>
              <w:spacing w:before="0" w:after="283"/>
              <w:jc w:val="left"/>
              <w:rPr/>
            </w:pPr>
            <w:r>
              <w:rPr/>
              <w:t>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80" w:type="dxa"/>
            <w:tcBorders>
              <w:bottom w:val="single" w:sz="6" w:space="0" w:color="DCCD8A"/>
            </w:tcBorders>
            <w:tcMar>
              <w:bottom w:w="80" w:type="dxa"/>
            </w:tcMar>
            <w:vAlign w:val="center"/>
          </w:tcPr>
          <w:p>
            <w:pPr>
              <w:pStyle w:val="TableContents"/>
              <w:bidi w:val="0"/>
              <w:spacing w:before="0" w:after="283"/>
              <w:jc w:val="left"/>
              <w:rPr/>
            </w:pPr>
            <w:r>
              <w:rPr/>
              <w:t> </w:t>
            </w:r>
          </w:p>
        </w:tc>
        <w:tc>
          <w:tcPr>
            <w:tcW w:w="1470" w:type="dxa"/>
            <w:tcBorders>
              <w:bottom w:val="single" w:sz="6" w:space="0" w:color="DCCD8A"/>
            </w:tcBorders>
            <w:tcMar>
              <w:bottom w:w="80" w:type="dxa"/>
            </w:tcMar>
            <w:vAlign w:val="center"/>
          </w:tcPr>
          <w:p>
            <w:pPr>
              <w:pStyle w:val="TableContents"/>
              <w:bidi w:val="0"/>
              <w:spacing w:before="0" w:after="283"/>
              <w:jc w:val="right"/>
              <w:rPr/>
            </w:pPr>
            <w:r>
              <w:rPr/>
              <w:t>-0-</w:t>
            </w:r>
          </w:p>
        </w:tc>
        <w:tc>
          <w:tcPr>
            <w:tcW w:w="330" w:type="dxa"/>
            <w:tcBorders>
              <w:bottom w:val="single" w:sz="6" w:space="0" w:color="DCCD8A"/>
            </w:tcBorders>
            <w:tcMar>
              <w:bottom w:w="80" w:type="dxa"/>
            </w:tcMar>
            <w:vAlign w:val="center"/>
          </w:tcPr>
          <w:p>
            <w:pPr>
              <w:pStyle w:val="TableContents"/>
              <w:bidi w:val="0"/>
              <w:spacing w:before="0" w:after="283"/>
              <w:jc w:val="left"/>
              <w:rPr/>
            </w:pPr>
            <w:r>
              <w:rPr/>
              <w:t>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91" w:type="dxa"/>
            <w:tcBorders>
              <w:bottom w:val="single" w:sz="6" w:space="0" w:color="DCCD8A"/>
            </w:tcBorders>
            <w:tcMar>
              <w:bottom w:w="80" w:type="dxa"/>
            </w:tcMar>
            <w:vAlign w:val="center"/>
          </w:tcPr>
          <w:p>
            <w:pPr>
              <w:pStyle w:val="TableContents"/>
              <w:bidi w:val="0"/>
              <w:spacing w:before="0" w:after="283"/>
              <w:jc w:val="left"/>
              <w:rPr/>
            </w:pPr>
            <w:r>
              <w:rPr/>
              <w:t> </w:t>
            </w:r>
          </w:p>
        </w:tc>
        <w:tc>
          <w:tcPr>
            <w:tcW w:w="1669" w:type="dxa"/>
            <w:tcBorders>
              <w:bottom w:val="single" w:sz="6" w:space="0" w:color="DCCD8A"/>
            </w:tcBorders>
            <w:tcMar>
              <w:bottom w:w="80" w:type="dxa"/>
            </w:tcMar>
            <w:vAlign w:val="center"/>
          </w:tcPr>
          <w:p>
            <w:pPr>
              <w:pStyle w:val="TableContents"/>
              <w:bidi w:val="0"/>
              <w:spacing w:before="0" w:after="283"/>
              <w:jc w:val="right"/>
              <w:rPr/>
            </w:pPr>
            <w:r>
              <w:rPr/>
              <w:t>-0-</w:t>
            </w:r>
          </w:p>
        </w:tc>
        <w:tc>
          <w:tcPr>
            <w:tcW w:w="78" w:type="dxa"/>
            <w:tcBorders>
              <w:bottom w:val="single" w:sz="6" w:space="0" w:color="DCCD8A"/>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shd w:fill="F4F0DC" w:val="clear"/>
            <w:vAlign w:val="center"/>
          </w:tcPr>
          <w:p>
            <w:pPr>
              <w:pStyle w:val="TableContents"/>
              <w:bidi w:val="0"/>
              <w:spacing w:before="0" w:after="0"/>
              <w:jc w:val="left"/>
              <w:rPr/>
            </w:pPr>
            <w:r>
              <w:rPr/>
              <w:t> </w:t>
            </w:r>
            <w:r>
              <w:rPr>
                <w:rFonts w:ascii="arial" w:hAnsi="arial"/>
                <w:sz w:val="18"/>
              </w:rPr>
              <w:t>Death or Disability</w:t>
            </w:r>
          </w:p>
        </w:tc>
        <w:tc>
          <w:tcPr>
            <w:tcW w:w="120" w:type="dxa"/>
            <w:tcBorders>
              <w:bottom w:val="single" w:sz="6" w:space="0" w:color="DCCD8A"/>
            </w:tcBorders>
            <w:tcMar>
              <w:bottom w:w="28" w:type="dxa"/>
            </w:tcMar>
            <w:vAlign w:val="center"/>
          </w:tcPr>
          <w:p>
            <w:pPr>
              <w:pStyle w:val="TableContents"/>
              <w:bidi w:val="0"/>
              <w:spacing w:before="0" w:after="283"/>
              <w:jc w:val="left"/>
              <w:rPr/>
            </w:pPr>
            <w:r>
              <w:rPr/>
              <w:t>  </w:t>
            </w:r>
          </w:p>
        </w:tc>
        <w:tc>
          <w:tcPr>
            <w:tcW w:w="63" w:type="dxa"/>
            <w:tcBorders>
              <w:bottom w:val="single" w:sz="6" w:space="0" w:color="DCCD8A"/>
            </w:tcBorders>
            <w:tcMar>
              <w:bottom w:w="80" w:type="dxa"/>
            </w:tcMar>
            <w:vAlign w:val="center"/>
          </w:tcPr>
          <w:p>
            <w:pPr>
              <w:pStyle w:val="TableContents"/>
              <w:bidi w:val="0"/>
              <w:spacing w:before="0" w:after="283"/>
              <w:jc w:val="left"/>
              <w:rPr/>
            </w:pPr>
            <w:r>
              <w:rPr/>
              <w:t> </w:t>
            </w:r>
          </w:p>
        </w:tc>
        <w:tc>
          <w:tcPr>
            <w:tcW w:w="1172" w:type="dxa"/>
            <w:tcBorders>
              <w:bottom w:val="single" w:sz="6" w:space="0" w:color="DCCD8A"/>
            </w:tcBorders>
            <w:tcMar>
              <w:bottom w:w="80" w:type="dxa"/>
            </w:tcMar>
            <w:vAlign w:val="center"/>
          </w:tcPr>
          <w:p>
            <w:pPr>
              <w:pStyle w:val="TableContents"/>
              <w:bidi w:val="0"/>
              <w:spacing w:before="0" w:after="283"/>
              <w:jc w:val="right"/>
              <w:rPr/>
            </w:pPr>
            <w:r>
              <w:rPr/>
              <w:t>775,000</w:t>
            </w:r>
          </w:p>
        </w:tc>
        <w:tc>
          <w:tcPr>
            <w:tcW w:w="330" w:type="dxa"/>
            <w:tcBorders>
              <w:bottom w:val="single" w:sz="6" w:space="0" w:color="DCCD8A"/>
            </w:tcBorders>
            <w:tcMar>
              <w:bottom w:w="80" w:type="dxa"/>
            </w:tcMar>
            <w:vAlign w:val="center"/>
          </w:tcPr>
          <w:p>
            <w:pPr>
              <w:pStyle w:val="TableContents"/>
              <w:bidi w:val="0"/>
              <w:spacing w:before="0" w:after="283"/>
              <w:jc w:val="left"/>
              <w:rPr/>
            </w:pPr>
            <w:r>
              <w:rPr/>
              <w:t>(2)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80" w:type="dxa"/>
            <w:tcBorders>
              <w:bottom w:val="single" w:sz="6" w:space="0" w:color="DCCD8A"/>
            </w:tcBorders>
            <w:tcMar>
              <w:bottom w:w="80" w:type="dxa"/>
            </w:tcMar>
            <w:vAlign w:val="center"/>
          </w:tcPr>
          <w:p>
            <w:pPr>
              <w:pStyle w:val="TableContents"/>
              <w:bidi w:val="0"/>
              <w:spacing w:before="0" w:after="283"/>
              <w:jc w:val="left"/>
              <w:rPr/>
            </w:pPr>
            <w:r>
              <w:rPr/>
              <w:t> </w:t>
            </w:r>
          </w:p>
        </w:tc>
        <w:tc>
          <w:tcPr>
            <w:tcW w:w="1470" w:type="dxa"/>
            <w:tcBorders>
              <w:bottom w:val="single" w:sz="6" w:space="0" w:color="DCCD8A"/>
            </w:tcBorders>
            <w:tcMar>
              <w:bottom w:w="80" w:type="dxa"/>
            </w:tcMar>
            <w:vAlign w:val="center"/>
          </w:tcPr>
          <w:p>
            <w:pPr>
              <w:pStyle w:val="TableContents"/>
              <w:bidi w:val="0"/>
              <w:spacing w:before="0" w:after="283"/>
              <w:jc w:val="right"/>
              <w:rPr/>
            </w:pPr>
            <w:r>
              <w:rPr/>
              <w:t>1,293,565</w:t>
            </w:r>
          </w:p>
        </w:tc>
        <w:tc>
          <w:tcPr>
            <w:tcW w:w="330" w:type="dxa"/>
            <w:tcBorders>
              <w:bottom w:val="single" w:sz="6" w:space="0" w:color="DCCD8A"/>
            </w:tcBorders>
            <w:tcMar>
              <w:bottom w:w="80" w:type="dxa"/>
            </w:tcMar>
            <w:vAlign w:val="center"/>
          </w:tcPr>
          <w:p>
            <w:pPr>
              <w:pStyle w:val="TableContents"/>
              <w:bidi w:val="0"/>
              <w:spacing w:before="0" w:after="283"/>
              <w:jc w:val="left"/>
              <w:rPr/>
            </w:pPr>
            <w:r>
              <w:rPr/>
              <w:t>(4) </w:t>
            </w:r>
          </w:p>
        </w:tc>
        <w:tc>
          <w:tcPr>
            <w:tcW w:w="60" w:type="dxa"/>
            <w:tcBorders>
              <w:bottom w:val="single" w:sz="6" w:space="0" w:color="DCCD8A"/>
            </w:tcBorders>
            <w:tcMar>
              <w:bottom w:w="28" w:type="dxa"/>
            </w:tcMar>
            <w:vAlign w:val="center"/>
          </w:tcPr>
          <w:p>
            <w:pPr>
              <w:pStyle w:val="TableContents"/>
              <w:bidi w:val="0"/>
              <w:spacing w:before="0" w:after="283"/>
              <w:jc w:val="left"/>
              <w:rPr/>
            </w:pPr>
            <w:r>
              <w:rPr/>
              <w:t> </w:t>
            </w:r>
          </w:p>
        </w:tc>
        <w:tc>
          <w:tcPr>
            <w:tcW w:w="91" w:type="dxa"/>
            <w:tcBorders>
              <w:bottom w:val="single" w:sz="6" w:space="0" w:color="DCCD8A"/>
            </w:tcBorders>
            <w:tcMar>
              <w:bottom w:w="80" w:type="dxa"/>
            </w:tcMar>
            <w:vAlign w:val="center"/>
          </w:tcPr>
          <w:p>
            <w:pPr>
              <w:pStyle w:val="TableContents"/>
              <w:bidi w:val="0"/>
              <w:spacing w:before="0" w:after="283"/>
              <w:jc w:val="left"/>
              <w:rPr/>
            </w:pPr>
            <w:r>
              <w:rPr/>
              <w:t> </w:t>
            </w:r>
          </w:p>
        </w:tc>
        <w:tc>
          <w:tcPr>
            <w:tcW w:w="1669" w:type="dxa"/>
            <w:tcBorders>
              <w:bottom w:val="single" w:sz="6" w:space="0" w:color="DCCD8A"/>
            </w:tcBorders>
            <w:tcMar>
              <w:bottom w:w="80" w:type="dxa"/>
            </w:tcMar>
            <w:vAlign w:val="center"/>
          </w:tcPr>
          <w:p>
            <w:pPr>
              <w:pStyle w:val="TableContents"/>
              <w:bidi w:val="0"/>
              <w:spacing w:before="0" w:after="283"/>
              <w:jc w:val="right"/>
              <w:rPr/>
            </w:pPr>
            <w:r>
              <w:rPr/>
              <w:t>2,068,565</w:t>
            </w:r>
          </w:p>
        </w:tc>
        <w:tc>
          <w:tcPr>
            <w:tcW w:w="78" w:type="dxa"/>
            <w:tcBorders>
              <w:bottom w:val="single" w:sz="6" w:space="0" w:color="DCCD8A"/>
            </w:tcBorders>
            <w:tcMar>
              <w:bottom w:w="80" w:type="dxa"/>
            </w:tcMar>
            <w:vAlign w:val="center"/>
          </w:tcPr>
          <w:p>
            <w:pPr>
              <w:pStyle w:val="TableContents"/>
              <w:bidi w:val="0"/>
              <w:spacing w:before="0" w:after="283"/>
              <w:jc w:val="left"/>
              <w:rPr/>
            </w:pPr>
            <w:r>
              <w:rPr/>
              <w:t> </w:t>
            </w:r>
          </w:p>
        </w:tc>
      </w:tr>
      <w:tr>
        <w:trPr/>
        <w:tc>
          <w:tcPr>
            <w:tcW w:w="4682" w:type="dxa"/>
            <w:tcBorders/>
            <w:shd w:fill="F4F0DC" w:val="clear"/>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98" w:type="dxa"/>
            <w:gridSpan w:val="4"/>
            <w:tcBorders/>
            <w:vAlign w:val="center"/>
          </w:tcPr>
          <w:p>
            <w:pPr>
              <w:pStyle w:val="TableContents"/>
              <w:bidi w:val="0"/>
              <w:spacing w:before="0" w:after="283"/>
              <w:jc w:val="left"/>
              <w:rPr>
                <w:sz w:val="4"/>
                <w:szCs w:val="4"/>
              </w:rPr>
            </w:pPr>
            <w:r>
              <w:rPr>
                <w:sz w:val="4"/>
                <w:szCs w:val="4"/>
              </w:rPr>
            </w:r>
          </w:p>
        </w:tc>
      </w:tr>
      <w:tr>
        <w:trPr/>
        <w:tc>
          <w:tcPr>
            <w:tcW w:w="4682" w:type="dxa"/>
            <w:tcBorders>
              <w:bottom w:val="single" w:sz="8" w:space="0" w:color="B99C16"/>
            </w:tcBorders>
            <w:shd w:fill="F4F0DC" w:val="clear"/>
            <w:tcMar>
              <w:bottom w:w="80" w:type="dxa"/>
            </w:tcMar>
            <w:vAlign w:val="center"/>
          </w:tcPr>
          <w:p>
            <w:pPr>
              <w:pStyle w:val="TableContents"/>
              <w:bidi w:val="0"/>
              <w:spacing w:before="0" w:after="0"/>
              <w:jc w:val="left"/>
              <w:rPr/>
            </w:pPr>
            <w:r>
              <w:rPr/>
              <w:t> </w:t>
            </w:r>
            <w:r>
              <w:rPr>
                <w:rFonts w:ascii="arial" w:hAnsi="arial"/>
                <w:sz w:val="18"/>
              </w:rPr>
              <w:t>Involuntary or good reason termination within 2 years of a CIC</w:t>
            </w:r>
          </w:p>
        </w:tc>
        <w:tc>
          <w:tcPr>
            <w:tcW w:w="120" w:type="dxa"/>
            <w:tcBorders>
              <w:bottom w:val="single" w:sz="8" w:space="0" w:color="B99C16"/>
            </w:tcBorders>
            <w:tcMar>
              <w:bottom w:w="28" w:type="dxa"/>
            </w:tcMar>
            <w:vAlign w:val="center"/>
          </w:tcPr>
          <w:p>
            <w:pPr>
              <w:pStyle w:val="TableContents"/>
              <w:bidi w:val="0"/>
              <w:spacing w:before="0" w:after="283"/>
              <w:jc w:val="left"/>
              <w:rPr/>
            </w:pPr>
            <w:r>
              <w:rPr/>
              <w:t>  </w:t>
            </w:r>
          </w:p>
        </w:tc>
        <w:tc>
          <w:tcPr>
            <w:tcW w:w="63" w:type="dxa"/>
            <w:tcBorders>
              <w:bottom w:val="single" w:sz="8" w:space="0" w:color="B99C16"/>
            </w:tcBorders>
            <w:tcMar>
              <w:bottom w:w="80" w:type="dxa"/>
            </w:tcMar>
            <w:vAlign w:val="center"/>
          </w:tcPr>
          <w:p>
            <w:pPr>
              <w:pStyle w:val="TableContents"/>
              <w:bidi w:val="0"/>
              <w:spacing w:before="0" w:after="283"/>
              <w:jc w:val="left"/>
              <w:rPr/>
            </w:pPr>
            <w:r>
              <w:rPr/>
              <w:t> </w:t>
            </w:r>
          </w:p>
        </w:tc>
        <w:tc>
          <w:tcPr>
            <w:tcW w:w="1172" w:type="dxa"/>
            <w:tcBorders>
              <w:bottom w:val="single" w:sz="8" w:space="0" w:color="B99C16"/>
            </w:tcBorders>
            <w:tcMar>
              <w:bottom w:w="80" w:type="dxa"/>
            </w:tcMar>
            <w:vAlign w:val="center"/>
          </w:tcPr>
          <w:p>
            <w:pPr>
              <w:pStyle w:val="TableContents"/>
              <w:bidi w:val="0"/>
              <w:spacing w:before="0" w:after="283"/>
              <w:jc w:val="right"/>
              <w:rPr/>
            </w:pPr>
            <w:r>
              <w:rPr/>
              <w:t>3,106,069</w:t>
            </w:r>
          </w:p>
        </w:tc>
        <w:tc>
          <w:tcPr>
            <w:tcW w:w="330" w:type="dxa"/>
            <w:tcBorders>
              <w:bottom w:val="single" w:sz="8" w:space="0" w:color="B99C16"/>
            </w:tcBorders>
            <w:tcMar>
              <w:bottom w:w="80" w:type="dxa"/>
            </w:tcMar>
            <w:vAlign w:val="center"/>
          </w:tcPr>
          <w:p>
            <w:pPr>
              <w:pStyle w:val="TableContents"/>
              <w:bidi w:val="0"/>
              <w:spacing w:before="0" w:after="283"/>
              <w:jc w:val="left"/>
              <w:rPr/>
            </w:pPr>
            <w:r>
              <w:rPr/>
              <w:t>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80" w:type="dxa"/>
            <w:tcBorders>
              <w:bottom w:val="single" w:sz="8" w:space="0" w:color="B99C16"/>
            </w:tcBorders>
            <w:tcMar>
              <w:bottom w:w="80" w:type="dxa"/>
            </w:tcMar>
            <w:vAlign w:val="center"/>
          </w:tcPr>
          <w:p>
            <w:pPr>
              <w:pStyle w:val="TableContents"/>
              <w:bidi w:val="0"/>
              <w:spacing w:before="0" w:after="283"/>
              <w:jc w:val="left"/>
              <w:rPr/>
            </w:pPr>
            <w:r>
              <w:rPr/>
              <w:t> </w:t>
            </w:r>
          </w:p>
        </w:tc>
        <w:tc>
          <w:tcPr>
            <w:tcW w:w="1470" w:type="dxa"/>
            <w:tcBorders>
              <w:bottom w:val="single" w:sz="8" w:space="0" w:color="B99C16"/>
            </w:tcBorders>
            <w:tcMar>
              <w:bottom w:w="80" w:type="dxa"/>
            </w:tcMar>
            <w:vAlign w:val="center"/>
          </w:tcPr>
          <w:p>
            <w:pPr>
              <w:pStyle w:val="TableContents"/>
              <w:bidi w:val="0"/>
              <w:spacing w:before="0" w:after="283"/>
              <w:jc w:val="right"/>
              <w:rPr/>
            </w:pPr>
            <w:r>
              <w:rPr/>
              <w:t>1,986,257</w:t>
            </w:r>
          </w:p>
        </w:tc>
        <w:tc>
          <w:tcPr>
            <w:tcW w:w="330" w:type="dxa"/>
            <w:tcBorders>
              <w:bottom w:val="single" w:sz="8" w:space="0" w:color="B99C16"/>
            </w:tcBorders>
            <w:tcMar>
              <w:bottom w:w="80" w:type="dxa"/>
            </w:tcMar>
            <w:vAlign w:val="center"/>
          </w:tcPr>
          <w:p>
            <w:pPr>
              <w:pStyle w:val="TableContents"/>
              <w:bidi w:val="0"/>
              <w:spacing w:before="0" w:after="283"/>
              <w:jc w:val="left"/>
              <w:rPr/>
            </w:pPr>
            <w:r>
              <w:rPr/>
              <w:t>(5) </w:t>
            </w:r>
          </w:p>
        </w:tc>
        <w:tc>
          <w:tcPr>
            <w:tcW w:w="60" w:type="dxa"/>
            <w:tcBorders>
              <w:bottom w:val="single" w:sz="8" w:space="0" w:color="B99C16"/>
            </w:tcBorders>
            <w:tcMar>
              <w:bottom w:w="28" w:type="dxa"/>
            </w:tcMar>
            <w:vAlign w:val="center"/>
          </w:tcPr>
          <w:p>
            <w:pPr>
              <w:pStyle w:val="TableContents"/>
              <w:bidi w:val="0"/>
              <w:spacing w:before="0" w:after="283"/>
              <w:jc w:val="left"/>
              <w:rPr/>
            </w:pPr>
            <w:r>
              <w:rPr/>
              <w:t> </w:t>
            </w:r>
          </w:p>
        </w:tc>
        <w:tc>
          <w:tcPr>
            <w:tcW w:w="91" w:type="dxa"/>
            <w:tcBorders>
              <w:bottom w:val="single" w:sz="8" w:space="0" w:color="B99C16"/>
            </w:tcBorders>
            <w:tcMar>
              <w:bottom w:w="80" w:type="dxa"/>
            </w:tcMar>
            <w:vAlign w:val="center"/>
          </w:tcPr>
          <w:p>
            <w:pPr>
              <w:pStyle w:val="TableContents"/>
              <w:bidi w:val="0"/>
              <w:spacing w:before="0" w:after="283"/>
              <w:jc w:val="left"/>
              <w:rPr/>
            </w:pPr>
            <w:r>
              <w:rPr/>
              <w:t> </w:t>
            </w:r>
          </w:p>
        </w:tc>
        <w:tc>
          <w:tcPr>
            <w:tcW w:w="1669" w:type="dxa"/>
            <w:tcBorders>
              <w:bottom w:val="single" w:sz="8" w:space="0" w:color="B99C16"/>
            </w:tcBorders>
            <w:tcMar>
              <w:bottom w:w="80" w:type="dxa"/>
            </w:tcMar>
            <w:vAlign w:val="center"/>
          </w:tcPr>
          <w:p>
            <w:pPr>
              <w:pStyle w:val="TableContents"/>
              <w:bidi w:val="0"/>
              <w:spacing w:before="0" w:after="283"/>
              <w:jc w:val="right"/>
              <w:rPr/>
            </w:pPr>
            <w:r>
              <w:rPr/>
              <w:t>5,092,326</w:t>
            </w:r>
          </w:p>
        </w:tc>
        <w:tc>
          <w:tcPr>
            <w:tcW w:w="78" w:type="dxa"/>
            <w:tcBorders>
              <w:bottom w:val="single" w:sz="8" w:space="0" w:color="B99C16"/>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0"/>
              <w:jc w:val="left"/>
              <w:rPr>
                <w:rFonts w:ascii="arial" w:hAnsi="arial"/>
                <w:sz w:val="18"/>
              </w:rPr>
            </w:pPr>
            <w:r>
              <w:rPr>
                <w:rFonts w:ascii="arial" w:hAnsi="arial"/>
                <w:sz w:val="18"/>
              </w:rPr>
              <w:t xml:space="preserve">Represents the market value as of December 31, 2025 of stock awards accelerated or continued in each scenario. For purposes of this disclosure, market value is determined using the December 31, 2025 closing price of CHDN of $113.78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(2)</w:t>
            </w:r>
          </w:p>
        </w:tc>
        <w:tc>
          <w:tcPr>
            <w:tcW w:w="9911" w:type="dxa"/>
            <w:tcBorders/>
            <w:vAlign w:val="center"/>
          </w:tcPr>
          <w:p>
            <w:pPr>
              <w:pStyle w:val="TableContents"/>
              <w:bidi w:val="0"/>
              <w:spacing w:before="0" w:after="0"/>
              <w:jc w:val="left"/>
              <w:rPr>
                <w:rFonts w:ascii="arial" w:hAnsi="arial"/>
                <w:sz w:val="18"/>
              </w:rPr>
            </w:pPr>
            <w:r>
              <w:rPr>
                <w:rFonts w:ascii="arial" w:hAnsi="arial"/>
                <w:sz w:val="18"/>
              </w:rPr>
              <w:t xml:space="preserve">Represents the pro rata bonus for the year of death or disability based on the target bonus the executive was eligible to receive for that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0"/>
              <w:jc w:val="left"/>
              <w:rPr>
                <w:rFonts w:ascii="arial" w:hAnsi="arial"/>
                <w:sz w:val="18"/>
              </w:rPr>
            </w:pPr>
            <w:r>
              <w:rPr>
                <w:rFonts w:ascii="arial" w:hAnsi="arial"/>
                <w:sz w:val="18"/>
              </w:rPr>
              <w:t xml:space="preserve">Represents (i) continued vesting of all unvested RSUs as of the termination date, plus (ii) continued vesting of all PSUs based on performance through the entire performance period, pro-rated for the time the NEO was employed during that performance period. For purposes of this table, all PSUs values are based on target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left"/>
              <w:rPr>
                <w:rFonts w:ascii="arial" w:hAnsi="arial"/>
                <w:sz w:val="18"/>
              </w:rPr>
            </w:pPr>
            <w:r>
              <w:rPr>
                <w:rFonts w:ascii="arial" w:hAnsi="arial"/>
                <w:sz w:val="18"/>
              </w:rPr>
              <w:t xml:space="preserve">Represents (i) accelerated vesting of all unvested RSUs as of the termination date, plus (ii) continued vesting of all PSUs based on performance through the entire performance period, pro-rated for the time the NEO was employed during that performance period. For purposes of this table, all PSUs values are based on target performance.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9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8" descr=""/>
                          <pic:cNvPicPr>
                            <a:picLocks noChangeAspect="1" noChangeArrowheads="1"/>
                          </pic:cNvPicPr>
                        </pic:nvPicPr>
                        <pic:blipFill>
                          <a:blip r:embed="rId89"/>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49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Potential Payments Upon Termination or Change of Control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(5)</w:t>
            </w:r>
          </w:p>
        </w:tc>
        <w:tc>
          <w:tcPr>
            <w:tcW w:w="9929" w:type="dxa"/>
            <w:tcBorders/>
            <w:vAlign w:val="center"/>
          </w:tcPr>
          <w:p>
            <w:pPr>
              <w:pStyle w:val="TableContents"/>
              <w:bidi w:val="0"/>
              <w:spacing w:before="0" w:after="0"/>
              <w:jc w:val="left"/>
              <w:rPr>
                <w:rFonts w:ascii="arial" w:hAnsi="arial"/>
                <w:sz w:val="18"/>
              </w:rPr>
            </w:pPr>
            <w:r>
              <w:rPr>
                <w:rFonts w:ascii="arial" w:hAnsi="arial"/>
                <w:sz w:val="18"/>
              </w:rPr>
              <w:t xml:space="preserve">Represents one hundred percent (100%) of all unvested RSU and PSU awards (based on to-date performance as of the termination date) granted under the 2016 Plan and the 2025 Plan. </w:t>
            </w:r>
          </w:p>
        </w:tc>
      </w:tr>
    </w:tbl>
    <w:p>
      <w:pPr>
        <w:pStyle w:val="TextBody"/>
        <w:bidi w:val="0"/>
        <w:spacing w:before="360" w:after="0"/>
        <w:jc w:val="left"/>
        <w:rPr>
          <w:rFonts w:ascii="arial" w:hAnsi="arial"/>
          <w:b/>
          <w:color w:val="004876"/>
          <w:sz w:val="20"/>
        </w:rPr>
      </w:pPr>
      <w:bookmarkStart w:id="71" w:name="toc123994_61"/>
      <w:bookmarkEnd w:id="71"/>
      <w:r>
        <w:rPr>
          <w:rFonts w:ascii="arial" w:hAnsi="arial"/>
          <w:b/>
          <w:color w:val="004876"/>
          <w:sz w:val="20"/>
        </w:rPr>
        <w:t xml:space="preserve">Non-Solicit Provisions </w:t>
      </w:r>
    </w:p>
    <w:p>
      <w:pPr>
        <w:pStyle w:val="TextBody"/>
        <w:bidi w:val="0"/>
        <w:spacing w:before="120" w:after="0"/>
        <w:jc w:val="left"/>
        <w:rPr>
          <w:rFonts w:ascii="arial" w:hAnsi="arial"/>
          <w:sz w:val="20"/>
        </w:rPr>
      </w:pPr>
      <w:r>
        <w:rPr>
          <w:rFonts w:ascii="arial" w:hAnsi="arial"/>
          <w:sz w:val="20"/>
        </w:rPr>
        <w:t xml:space="preserve">The NEOs each entered into an Executive Change in Control, Severance and Indemnity Agreement (the “Change in Control Agreements”) with the Company. Pursuant to each of these agreements, each continuing NEO is subject to a two-year non-solicitation period after the termination of their employment with the Company for any reason, during which they may not solicit any employee of the Company to leave employment with the Company or solicit any customer of the Company for the purpose of engaging in business with them that competes with the business engaged in by the Company. Ms. Adams’ Change in Control Agreement was terminated in connection with her retirement pursuant to the Memorandum of Understanding between her and the Company. </w:t>
      </w:r>
    </w:p>
    <w:p>
      <w:pPr>
        <w:pStyle w:val="TextBody"/>
        <w:bidi w:val="0"/>
        <w:spacing w:before="360" w:after="0"/>
        <w:jc w:val="left"/>
        <w:rPr>
          <w:rFonts w:ascii="arial" w:hAnsi="arial"/>
          <w:b/>
          <w:color w:val="004876"/>
          <w:sz w:val="20"/>
        </w:rPr>
      </w:pPr>
      <w:bookmarkStart w:id="72" w:name="toc123994_62"/>
      <w:bookmarkEnd w:id="72"/>
      <w:r>
        <w:rPr>
          <w:rFonts w:ascii="arial" w:hAnsi="arial"/>
          <w:b/>
          <w:color w:val="004876"/>
          <w:sz w:val="20"/>
        </w:rPr>
        <w:t xml:space="preserve">Severance Benefits </w:t>
      </w:r>
    </w:p>
    <w:p>
      <w:pPr>
        <w:pStyle w:val="TextBody"/>
        <w:bidi w:val="0"/>
        <w:spacing w:before="120" w:after="0"/>
        <w:jc w:val="left"/>
        <w:rPr>
          <w:rFonts w:ascii="arial" w:hAnsi="arial"/>
          <w:sz w:val="20"/>
        </w:rPr>
      </w:pPr>
      <w:r>
        <w:rPr>
          <w:rFonts w:ascii="arial" w:hAnsi="arial"/>
          <w:sz w:val="20"/>
        </w:rPr>
        <w:t xml:space="preserve">The Change in Control Agreements provide for the following principal severance provisions upon termination by the Company without cause or by the executive upon constructive termination or for good reason (as defined in each agreement): </w:t>
      </w:r>
    </w:p>
    <w:p>
      <w:pPr>
        <w:pStyle w:val="TextBody"/>
        <w:bidi w:val="0"/>
        <w:spacing w:before="240" w:after="0"/>
        <w:jc w:val="left"/>
        <w:rPr>
          <w:rFonts w:ascii="arial" w:hAnsi="arial"/>
          <w:sz w:val="20"/>
        </w:rPr>
      </w:pPr>
      <w:r>
        <w:rPr>
          <w:rFonts w:ascii="arial" w:hAnsi="arial"/>
          <w:i/>
          <w:sz w:val="20"/>
        </w:rPr>
        <w:t>Mr.</w:t>
      </w:r>
      <w:r>
        <w:rPr>
          <w:rFonts w:ascii="arial" w:hAnsi="arial"/>
          <w:sz w:val="20"/>
        </w:rPr>
        <w:t> </w:t>
      </w:r>
      <w:r>
        <w:rPr>
          <w:rFonts w:ascii="arial" w:hAnsi="arial"/>
          <w:i/>
          <w:sz w:val="20"/>
        </w:rPr>
        <w:t>Carstanjen and Mr.</w:t>
      </w:r>
      <w:r>
        <w:rPr>
          <w:rFonts w:ascii="arial" w:hAnsi="arial"/>
          <w:sz w:val="20"/>
        </w:rPr>
        <w:t> </w:t>
      </w:r>
      <w:r>
        <w:rPr>
          <w:rFonts w:ascii="arial" w:hAnsi="arial"/>
          <w:i/>
          <w:sz w:val="20"/>
        </w:rPr>
        <w:t>Mudd.</w:t>
      </w:r>
      <w:r>
        <w:rPr>
          <w:rFonts w:ascii="arial" w:hAnsi="arial"/>
          <w:sz w:val="20"/>
        </w:rPr>
        <w:t xml:space="preserve"> The Change in Control Agreement executed by Mr. Carstanjen and Mr. Mudd in 2018 provides that, upon termination by the Company without cause or by the executive upon constructive termination or for good reason, the executive will be entitled to receive (a) an amount in cash equal to, in the case of Mr. Carstanjen, 2 times and, in the case of Mr. Mudd, 1.5 times the sum of (x) the executive’s annual base salary and (y) the amount of the executive’s annual target bonus for the year in which the executive was terminated, (b) a lump sum amount equal to the prorated in-cycle bonus of executive’s target bonus for the year in which the executive’s termination of employment occurs, (c) treatment of all equity-based awards per the terms of the applicable plan, award or agreement, and (d) a lump sum cash payment equal to the total premiums for medical, dental and vision benefits for a three-month period. </w:t>
      </w:r>
    </w:p>
    <w:p>
      <w:pPr>
        <w:pStyle w:val="TextBody"/>
        <w:bidi w:val="0"/>
        <w:spacing w:before="240" w:after="0"/>
        <w:jc w:val="left"/>
        <w:rPr>
          <w:rFonts w:ascii="arial" w:hAnsi="arial"/>
          <w:sz w:val="20"/>
        </w:rPr>
      </w:pPr>
      <w:r>
        <w:rPr>
          <w:rFonts w:ascii="arial" w:hAnsi="arial"/>
          <w:i/>
          <w:sz w:val="20"/>
        </w:rPr>
        <w:t>Ms.</w:t>
      </w:r>
      <w:r>
        <w:rPr>
          <w:rFonts w:ascii="arial" w:hAnsi="arial"/>
          <w:sz w:val="20"/>
        </w:rPr>
        <w:t> </w:t>
      </w:r>
      <w:r>
        <w:rPr>
          <w:rFonts w:ascii="arial" w:hAnsi="arial"/>
          <w:i/>
          <w:sz w:val="20"/>
        </w:rPr>
        <w:t>Dall and Mr.</w:t>
      </w:r>
      <w:r>
        <w:rPr>
          <w:rFonts w:ascii="arial" w:hAnsi="arial"/>
          <w:sz w:val="20"/>
        </w:rPr>
        <w:t> </w:t>
      </w:r>
      <w:r>
        <w:rPr>
          <w:rFonts w:ascii="arial" w:hAnsi="arial"/>
          <w:i/>
          <w:sz w:val="20"/>
        </w:rPr>
        <w:t>Blackwell</w:t>
      </w:r>
      <w:r>
        <w:rPr>
          <w:rFonts w:ascii="arial" w:hAnsi="arial"/>
          <w:sz w:val="20"/>
        </w:rPr>
        <w:t xml:space="preserve">. The Change in Control Agreement executed by Ms. Dall in 2020, and Mr. Blackwell in 2022, provides that, upon termination by the Company without cause or by the executive upon constructive termination or for good reason, the executive will be entitled to receive (a) an amount in cash equal to 1.5 times the sum of (x) the executive’s annual base salary and (y) the amount of the executive’s annual target bonus for the year in which the executive was terminated, (b) treatment of all equity-based awards per the terms of the applicable plan, award or agreement, and (c) a lump sum cash payment equal to the total premiums for medical, dental and vision benefits for a three-month period. </w:t>
      </w:r>
    </w:p>
    <w:p>
      <w:pPr>
        <w:pStyle w:val="TextBody"/>
        <w:bidi w:val="0"/>
        <w:spacing w:before="240" w:after="0"/>
        <w:jc w:val="left"/>
        <w:rPr>
          <w:rFonts w:ascii="arial" w:hAnsi="arial"/>
          <w:sz w:val="20"/>
        </w:rPr>
      </w:pPr>
      <w:r>
        <w:rPr>
          <w:rFonts w:ascii="arial" w:hAnsi="arial"/>
          <w:i/>
          <w:sz w:val="20"/>
        </w:rPr>
        <w:t>Change in Control Benefits.</w:t>
      </w:r>
      <w:r>
        <w:rPr>
          <w:rFonts w:ascii="arial" w:hAnsi="arial"/>
          <w:sz w:val="20"/>
        </w:rPr>
        <w:t xml:space="preserve"> The current agreements for the NEOs also provide for the following change in control provisions: if the executive is terminated within two years following a change in control, the NEO will receive severance as provided above, except that the salary and bonus severance multiple shall in each case be 2x. </w:t>
      </w:r>
    </w:p>
    <w:p>
      <w:pPr>
        <w:pStyle w:val="TextBody"/>
        <w:bidi w:val="0"/>
        <w:spacing w:before="240" w:after="0"/>
        <w:jc w:val="left"/>
        <w:rPr>
          <w:rFonts w:ascii="arial" w:hAnsi="arial"/>
          <w:sz w:val="20"/>
        </w:rPr>
      </w:pPr>
      <w:r>
        <w:rPr>
          <w:rFonts w:ascii="arial" w:hAnsi="arial"/>
          <w:sz w:val="20"/>
        </w:rPr>
        <w:t xml:space="preserve">In the event that any payments to any of the NEOs are subject to the excise tax imposed by Section 4999 of the Code, such payments shall be reduced to one dollar ($1) below the maximum amount of payments that will not be subject to such tax; provided, however, that the foregoing limitation shall not apply in the event the total payments to the NEO, on an after-tax basis, would exceed the after-tax benefits to the NEO if such limitation applied. The NEO shall bear the expense of any and all excise taxes due on any payments that are deemed to be “excess parachute payments” under Section 280G of the Code. </w:t>
      </w:r>
    </w:p>
    <w:p>
      <w:pPr>
        <w:pStyle w:val="TextBody"/>
        <w:bidi w:val="0"/>
        <w:spacing w:before="240" w:after="0"/>
        <w:jc w:val="left"/>
        <w:rPr>
          <w:rFonts w:ascii="arial" w:hAnsi="arial"/>
          <w:sz w:val="20"/>
        </w:rPr>
      </w:pPr>
      <w:r>
        <w:rPr>
          <w:rFonts w:ascii="arial" w:hAnsi="arial"/>
          <w:i/>
          <w:sz w:val="20"/>
        </w:rPr>
        <w:t>Maureen Adams Memorandum of Understanding</w:t>
      </w:r>
      <w:r>
        <w:rPr>
          <w:rFonts w:ascii="arial" w:hAnsi="arial"/>
          <w:sz w:val="20"/>
        </w:rPr>
        <w:t xml:space="preserve"> In connection with the announcement of her retirement, Ms. Adams entered into a Memorandum of Understanding with the Company, which provided for (i) a 2025 bonus under the EAIP, with payout determined based on actual performance for the year ($615,101), (ii) continued vesting with respect to her outstanding RSU awards and PSU awards as if she remained employed with the Company through the last applicable vesting date and based on actual performance with respect to her PSU awards ($678,470, based on the December 31, 2025 closing price of CHDN of $113.78 and assuming target performance with respect to her PSU awards), (iii) a retention payment of $550,000, subject to her continued employment through December 31, 2025, and (iv) the termination of her Change in Control Agreement.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50</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9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9" descr=""/>
                          <pic:cNvPicPr>
                            <a:picLocks noChangeAspect="1" noChangeArrowheads="1"/>
                          </pic:cNvPicPr>
                        </pic:nvPicPr>
                        <pic:blipFill>
                          <a:blip r:embed="rId90"/>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Pay Ratio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2826" w:type="dxa"/>
        <w:jc w:val="left"/>
        <w:tblInd w:w="0" w:type="dxa"/>
        <w:tblLayout w:type="fixed"/>
        <w:tblCellMar>
          <w:top w:w="0" w:type="dxa"/>
          <w:left w:w="0" w:type="dxa"/>
          <w:bottom w:w="0" w:type="dxa"/>
          <w:right w:w="0" w:type="dxa"/>
        </w:tblCellMar>
      </w:tblPr>
      <w:tblGrid>
        <w:gridCol w:w="75"/>
        <w:gridCol w:w="23"/>
        <w:gridCol w:w="23"/>
        <w:gridCol w:w="60"/>
        <w:gridCol w:w="2645"/>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rFonts w:ascii="arial" w:hAnsi="arial"/>
                <w:b/>
                <w:color w:val="004876"/>
                <w:sz w:val="48"/>
              </w:rPr>
            </w:pPr>
            <w:bookmarkStart w:id="73" w:name="toc123994_63"/>
            <w:bookmarkEnd w:id="73"/>
            <w:r>
              <w:rPr>
                <w:rFonts w:ascii="arial" w:hAnsi="arial"/>
                <w:b/>
                <w:color w:val="004876"/>
                <w:sz w:val="48"/>
              </w:rPr>
              <w:t>PAY RATIO</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As required by Section 953(b) of the Dodd-Frank Wall Street Reform and Consumer Protection Act, we are providing the following disclosure about the relationship of the annual total compensation of our employees to the annual total compensation of Mr. Carstanjen, our Chief Executive Officer. To understand this disclosure, we think it is important to give context to our operations. Our business is seasonal and relies heavily on seasonal, part-time and hourly workers. In addition, our gaming business operation also employs many part time hourly employees. In total, approximately 75.2% of our workforce consists of hourly employees. </w:t>
      </w:r>
    </w:p>
    <w:p>
      <w:pPr>
        <w:pStyle w:val="TextBody"/>
        <w:bidi w:val="0"/>
        <w:spacing w:before="240" w:after="0"/>
        <w:jc w:val="left"/>
        <w:rPr>
          <w:rFonts w:ascii="arial" w:hAnsi="arial"/>
          <w:sz w:val="20"/>
        </w:rPr>
      </w:pPr>
      <w:r>
        <w:rPr>
          <w:rFonts w:ascii="arial" w:hAnsi="arial"/>
          <w:sz w:val="20"/>
        </w:rPr>
        <w:t xml:space="preserve">We strive to create a compensation program that is competitive in terms of both the position and the geographic location in which the employee is located. Accordingly, our pay structures vary among employees based on position and geographic location. </w:t>
      </w:r>
    </w:p>
    <w:p>
      <w:pPr>
        <w:pStyle w:val="TextBody"/>
        <w:bidi w:val="0"/>
        <w:spacing w:before="360" w:after="0"/>
        <w:jc w:val="left"/>
        <w:rPr>
          <w:rFonts w:ascii="arial" w:hAnsi="arial"/>
          <w:b/>
          <w:color w:val="004876"/>
          <w:sz w:val="20"/>
        </w:rPr>
      </w:pPr>
      <w:bookmarkStart w:id="74" w:name="toc123994_64"/>
      <w:bookmarkEnd w:id="74"/>
      <w:r>
        <w:rPr>
          <w:rFonts w:ascii="arial" w:hAnsi="arial"/>
          <w:b/>
          <w:color w:val="004876"/>
          <w:sz w:val="20"/>
        </w:rPr>
        <w:t xml:space="preserve">Identification of Median Employee </w:t>
      </w:r>
    </w:p>
    <w:p>
      <w:pPr>
        <w:pStyle w:val="TextBody"/>
        <w:bidi w:val="0"/>
        <w:spacing w:before="120" w:after="0"/>
        <w:jc w:val="left"/>
        <w:rPr>
          <w:rFonts w:ascii="arial" w:hAnsi="arial"/>
          <w:sz w:val="20"/>
        </w:rPr>
      </w:pPr>
      <w:r>
        <w:rPr>
          <w:rFonts w:ascii="arial" w:hAnsi="arial"/>
          <w:sz w:val="20"/>
        </w:rPr>
        <w:t xml:space="preserve">For 2025, we elected to use December 31, 2025 as the date on which to determine our median employee. As of December 31, 2025, we had approximately 8,685 employees. For purposes of identifying the median employee, we ran a report for all year-to-date taxable compensation for employees as of the selection date, and sorted by the total compensation. </w:t>
      </w:r>
    </w:p>
    <w:p>
      <w:pPr>
        <w:pStyle w:val="TextBody"/>
        <w:bidi w:val="0"/>
        <w:spacing w:before="240" w:after="0"/>
        <w:jc w:val="left"/>
        <w:rPr>
          <w:rFonts w:ascii="arial" w:hAnsi="arial"/>
          <w:sz w:val="20"/>
        </w:rPr>
      </w:pPr>
      <w:r>
        <w:rPr>
          <w:rFonts w:ascii="arial" w:hAnsi="arial"/>
          <w:sz w:val="20"/>
        </w:rPr>
        <w:t xml:space="preserve">Using this methodology, we determined our median employee was a full-time, hourly employee with an annual total compensation of $33,486. We used base cash compensation as our compensation measure as it is the principal form of compensation delivered to all of our employees and annualized compensation for full-time and part-time employees hired during 2025 who did not work an entire year. In determining the annual total compensation of the median employee, we calculated such employee’s compensation in accordance with Item 402(c)(2)(x) of Regulation S-K as required pursuant to SEC executive compensation disclosure rules. This calculation is the same calculation used to determine total compensation for purposes of the 2025 Summary Compensation Table with respect to each of the NEOs. </w:t>
      </w:r>
    </w:p>
    <w:p>
      <w:pPr>
        <w:pStyle w:val="TextBody"/>
        <w:bidi w:val="0"/>
        <w:spacing w:before="360" w:after="0"/>
        <w:jc w:val="left"/>
        <w:rPr>
          <w:rFonts w:ascii="arial" w:hAnsi="arial"/>
          <w:b/>
          <w:color w:val="004876"/>
          <w:sz w:val="20"/>
        </w:rPr>
      </w:pPr>
      <w:bookmarkStart w:id="75" w:name="toc123994_65"/>
      <w:bookmarkEnd w:id="75"/>
      <w:r>
        <w:rPr>
          <w:rFonts w:ascii="arial" w:hAnsi="arial"/>
          <w:b/>
          <w:color w:val="004876"/>
          <w:sz w:val="20"/>
        </w:rPr>
        <w:t xml:space="preserve">Ratio (2025) </w:t>
      </w:r>
    </w:p>
    <w:p>
      <w:pPr>
        <w:pStyle w:val="TextBody"/>
        <w:bidi w:val="0"/>
        <w:spacing w:before="0" w:after="0"/>
        <w:jc w:val="left"/>
        <w:rPr/>
      </w:pPr>
      <w:r>
        <w:rPr/>
        <w:t> </w:t>
      </w:r>
    </w:p>
    <w:tbl>
      <w:tblPr>
        <w:tblW w:w="6030" w:type="dxa"/>
        <w:jc w:val="left"/>
        <w:tblInd w:w="0" w:type="dxa"/>
        <w:tblLayout w:type="fixed"/>
        <w:tblCellMar>
          <w:top w:w="0" w:type="dxa"/>
          <w:left w:w="0" w:type="dxa"/>
          <w:bottom w:w="0" w:type="dxa"/>
          <w:right w:w="0" w:type="dxa"/>
        </w:tblCellMar>
      </w:tblPr>
      <w:tblGrid>
        <w:gridCol w:w="4730"/>
        <w:gridCol w:w="120"/>
        <w:gridCol w:w="125"/>
        <w:gridCol w:w="980"/>
        <w:gridCol w:w="75"/>
      </w:tblGrid>
      <w:tr>
        <w:trPr/>
        <w:tc>
          <w:tcPr>
            <w:tcW w:w="4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730" w:type="dxa"/>
            <w:tcBorders/>
            <w:shd w:fill="004876" w:val="clear"/>
            <w:vAlign w:val="center"/>
          </w:tcPr>
          <w:p>
            <w:pPr>
              <w:pStyle w:val="TableContents"/>
              <w:bidi w:val="0"/>
              <w:spacing w:before="0" w:after="283"/>
              <w:jc w:val="left"/>
              <w:rPr/>
            </w:pPr>
            <w:r>
              <w:rPr/>
              <w:t> </w:t>
            </w:r>
          </w:p>
        </w:tc>
        <w:tc>
          <w:tcPr>
            <w:tcW w:w="120" w:type="dxa"/>
            <w:tcBorders/>
            <w:shd w:fill="004876" w:val="clear"/>
            <w:vAlign w:val="center"/>
          </w:tcPr>
          <w:p>
            <w:pPr>
              <w:pStyle w:val="TableContents"/>
              <w:bidi w:val="0"/>
              <w:spacing w:before="0" w:after="283"/>
              <w:jc w:val="left"/>
              <w:rPr/>
            </w:pPr>
            <w:r>
              <w:rPr/>
              <w:t>  </w:t>
            </w:r>
          </w:p>
        </w:tc>
        <w:tc>
          <w:tcPr>
            <w:tcW w:w="1105" w:type="dxa"/>
            <w:gridSpan w:val="2"/>
            <w:tcBorders/>
            <w:shd w:fill="004876" w:val="clear"/>
            <w:vAlign w:val="center"/>
          </w:tcPr>
          <w:p>
            <w:pPr>
              <w:pStyle w:val="TableContents"/>
              <w:bidi w:val="0"/>
              <w:spacing w:before="0" w:after="283"/>
              <w:jc w:val="left"/>
              <w:rPr/>
            </w:pPr>
            <w:r>
              <w:rPr/>
              <w:t> </w:t>
            </w:r>
          </w:p>
        </w:tc>
        <w:tc>
          <w:tcPr>
            <w:tcW w:w="75" w:type="dxa"/>
            <w:tcBorders/>
            <w:shd w:fill="004876" w:val="clear"/>
            <w:vAlign w:val="center"/>
          </w:tcPr>
          <w:p>
            <w:pPr>
              <w:pStyle w:val="TableContents"/>
              <w:bidi w:val="0"/>
              <w:spacing w:before="0" w:after="283"/>
              <w:jc w:val="left"/>
              <w:rPr/>
            </w:pPr>
            <w:r>
              <w:rPr/>
              <w:t> </w:t>
            </w:r>
          </w:p>
        </w:tc>
      </w:tr>
      <w:tr>
        <w:trPr/>
        <w:tc>
          <w:tcPr>
            <w:tcW w:w="4730" w:type="dxa"/>
            <w:tcBorders/>
            <w:shd w:fill="F4F0DC" w:val="clear"/>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B99C16"/>
            </w:tcBorders>
            <w:shd w:fill="F4F0DC"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Median Annual Total Compensation (excluding CEO)</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w:t>
            </w:r>
          </w:p>
        </w:tc>
        <w:tc>
          <w:tcPr>
            <w:tcW w:w="980" w:type="dxa"/>
            <w:tcBorders>
              <w:bottom w:val="single" w:sz="6" w:space="0" w:color="B99C16"/>
            </w:tcBorders>
            <w:tcMar>
              <w:bottom w:w="8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20"/>
              </w:rPr>
            </w:pPr>
            <w:r>
              <w:rPr>
                <w:rFonts w:ascii="arial" w:hAnsi="arial"/>
                <w:sz w:val="20"/>
              </w:rPr>
              <w:t>33,486</w:t>
            </w:r>
          </w:p>
        </w:tc>
        <w:tc>
          <w:tcPr>
            <w:tcW w:w="75" w:type="dxa"/>
            <w:tcBorders>
              <w:bottom w:val="single" w:sz="6" w:space="0" w:color="B99C16"/>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4730" w:type="dxa"/>
            <w:tcBorders/>
            <w:shd w:fill="F4F0DC" w:val="clear"/>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B99C16"/>
            </w:tcBorders>
            <w:shd w:fill="F4F0DC"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CEO Annual Total Compensation</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w:t>
            </w:r>
          </w:p>
        </w:tc>
        <w:tc>
          <w:tcPr>
            <w:tcW w:w="980" w:type="dxa"/>
            <w:tcBorders>
              <w:bottom w:val="single" w:sz="6" w:space="0" w:color="B99C16"/>
            </w:tcBorders>
            <w:tcMar>
              <w:bottom w:w="8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20"/>
              </w:rPr>
            </w:pPr>
            <w:r>
              <w:rPr>
                <w:rFonts w:ascii="arial" w:hAnsi="arial"/>
                <w:sz w:val="20"/>
              </w:rPr>
              <w:t>19,172,839</w:t>
            </w:r>
          </w:p>
        </w:tc>
        <w:tc>
          <w:tcPr>
            <w:tcW w:w="75" w:type="dxa"/>
            <w:tcBorders>
              <w:bottom w:val="single" w:sz="6" w:space="0" w:color="B99C16"/>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4730" w:type="dxa"/>
            <w:tcBorders/>
            <w:shd w:fill="F4F0DC" w:val="clear"/>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B99C16"/>
            </w:tcBorders>
            <w:shd w:fill="F4F0DC" w:val="clear"/>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Pay Ratio</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25" w:type="dxa"/>
            <w:tcBorders>
              <w:bottom w:val="single" w:sz="6" w:space="0" w:color="B99C16"/>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980" w:type="dxa"/>
            <w:tcBorders>
              <w:bottom w:val="single" w:sz="6" w:space="0" w:color="B99C16"/>
            </w:tcBorders>
            <w:tcMar>
              <w:bottom w:w="8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20"/>
              </w:rPr>
            </w:pPr>
            <w:r>
              <w:rPr>
                <w:rFonts w:ascii="arial" w:hAnsi="arial"/>
                <w:sz w:val="20"/>
              </w:rPr>
              <w:t>573 to 1</w:t>
            </w:r>
          </w:p>
        </w:tc>
        <w:tc>
          <w:tcPr>
            <w:tcW w:w="75" w:type="dxa"/>
            <w:tcBorders>
              <w:bottom w:val="single" w:sz="6" w:space="0" w:color="B99C16"/>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40" w:after="0"/>
        <w:jc w:val="left"/>
        <w:rPr>
          <w:rFonts w:ascii="arial" w:hAnsi="arial"/>
          <w:sz w:val="20"/>
        </w:rPr>
      </w:pPr>
      <w:r>
        <w:rPr>
          <w:rFonts w:ascii="arial" w:hAnsi="arial"/>
          <w:sz w:val="20"/>
        </w:rPr>
        <w:t xml:space="preserve">SEC rules for identifying the median employee and calculating the pay ratio allow companies to apply various methodologies and assumptions and, as a result, the pay ratio reported by us may not be comparable to the pay ratio reported by other companies.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9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0" descr=""/>
                          <pic:cNvPicPr>
                            <a:picLocks noChangeAspect="1" noChangeArrowheads="1"/>
                          </pic:cNvPicPr>
                        </pic:nvPicPr>
                        <pic:blipFill>
                          <a:blip r:embed="rId91"/>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51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pacing w:val="0"/>
          <w:sz w:val="20"/>
        </w:rPr>
      </w:pPr>
      <w:r>
        <w:rPr>
          <w:rFonts w:ascii="arial" w:hAnsi="arial"/>
          <w:b/>
          <w:color w:val="004876"/>
          <w:spacing w:val="0"/>
          <w:sz w:val="20"/>
        </w:rPr>
        <w:t xml:space="preserve">Pay Versus Performance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7161" w:type="dxa"/>
        <w:jc w:val="left"/>
        <w:tblInd w:w="0" w:type="dxa"/>
        <w:tblLayout w:type="fixed"/>
        <w:tblCellMar>
          <w:top w:w="0" w:type="dxa"/>
          <w:left w:w="0" w:type="dxa"/>
          <w:bottom w:w="0" w:type="dxa"/>
          <w:right w:w="0" w:type="dxa"/>
        </w:tblCellMar>
      </w:tblPr>
      <w:tblGrid>
        <w:gridCol w:w="75"/>
        <w:gridCol w:w="23"/>
        <w:gridCol w:w="23"/>
        <w:gridCol w:w="60"/>
        <w:gridCol w:w="6980"/>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80"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arial" w:hAnsi="arial"/>
                <w:b/>
                <w:color w:val="004876"/>
                <w:spacing w:val="0"/>
                <w:sz w:val="48"/>
              </w:rPr>
            </w:pPr>
            <w:r>
              <w:rPr>
                <w:rFonts w:ascii="arial" w:hAnsi="arial"/>
                <w:b/>
                <w:color w:val="004876"/>
                <w:spacing w:val="0"/>
                <w:sz w:val="48"/>
              </w:rPr>
              <w:t>PAY VERSUS PERFORMANCE</w:t>
            </w:r>
          </w:p>
          <w:p>
            <w:pPr>
              <w:pStyle w:val="TableContents"/>
              <w:bidi w:val="0"/>
              <w:spacing w:before="0" w:after="20"/>
              <w:jc w:val="left"/>
              <w:rPr/>
            </w:pPr>
            <w:r>
              <w:rPr/>
              <w:t> </w:t>
            </w:r>
          </w:p>
        </w:tc>
      </w:tr>
    </w:tbl>
    <w:p>
      <w:pPr>
        <w:pStyle w:val="TextBody"/>
        <w:bidi w:val="0"/>
        <w:spacing w:before="240" w:after="0"/>
        <w:jc w:val="left"/>
        <w:rPr>
          <w:rFonts w:ascii="arial" w:hAnsi="arial"/>
          <w:sz w:val="20"/>
        </w:rPr>
      </w:pPr>
      <w:r>
        <w:rPr>
          <w:rFonts w:ascii="arial" w:hAnsi="arial"/>
          <w:sz w:val="20"/>
        </w:rPr>
        <w:t xml:space="preserve">Pursuant to Section 953(a) of the Dodd-Frank Wall Street Reform and Consumer Protection Act and Item 402(v) of Regulation </w:t>
      </w:r>
    </w:p>
    <w:p>
      <w:pPr>
        <w:pStyle w:val="TextBody"/>
        <w:bidi w:val="0"/>
        <w:spacing w:before="240" w:after="0"/>
        <w:jc w:val="left"/>
        <w:rPr>
          <w:rFonts w:ascii="arial" w:hAnsi="arial"/>
          <w:spacing w:val="0"/>
          <w:sz w:val="20"/>
        </w:rPr>
      </w:pPr>
      <w:r>
        <w:rPr>
          <w:rFonts w:ascii="arial" w:hAnsi="arial"/>
          <w:spacing w:val="0"/>
          <w:sz w:val="20"/>
        </w:rPr>
        <w:t>S-K,</w:t>
      </w:r>
    </w:p>
    <w:p>
      <w:pPr>
        <w:pStyle w:val="TextBody"/>
        <w:bidi w:val="0"/>
        <w:spacing w:before="240" w:after="0"/>
        <w:jc w:val="left"/>
        <w:rPr>
          <w:rFonts w:ascii="arial" w:hAnsi="arial"/>
          <w:sz w:val="20"/>
        </w:rPr>
      </w:pPr>
      <w:r>
        <w:rPr>
          <w:rFonts w:ascii="arial" w:hAnsi="arial"/>
          <w:sz w:val="20"/>
        </w:rPr>
        <w:t xml:space="preserve">the Pay Versus Performance Table (set forth below) is required to include “Compensation Actually Paid,” as calculated per SEC disclosure rules, to the Company’s principal executive officer (“PEO”) and the Company’s </w:t>
      </w:r>
    </w:p>
    <w:p>
      <w:pPr>
        <w:pStyle w:val="TextBody"/>
        <w:bidi w:val="0"/>
        <w:spacing w:before="240" w:after="0"/>
        <w:jc w:val="left"/>
        <w:rPr>
          <w:rFonts w:ascii="arial" w:hAnsi="arial"/>
          <w:spacing w:val="0"/>
          <w:sz w:val="20"/>
        </w:rPr>
      </w:pPr>
      <w:r>
        <w:rPr>
          <w:rFonts w:ascii="arial" w:hAnsi="arial"/>
          <w:spacing w:val="0"/>
          <w:sz w:val="20"/>
        </w:rPr>
        <w:t>non-PEO</w:t>
      </w:r>
    </w:p>
    <w:p>
      <w:pPr>
        <w:pStyle w:val="TextBody"/>
        <w:bidi w:val="0"/>
        <w:spacing w:before="240" w:after="0"/>
        <w:jc w:val="left"/>
        <w:rPr>
          <w:rFonts w:ascii="arial" w:hAnsi="arial"/>
          <w:sz w:val="20"/>
        </w:rPr>
      </w:pPr>
      <w:r>
        <w:rPr>
          <w:rFonts w:ascii="arial" w:hAnsi="arial"/>
          <w:sz w:val="20"/>
        </w:rPr>
        <w:t xml:space="preserve">NEOs, as noted below. “Compensation Actually Paid” represents a new required calculation of compensation that differs significantly from the Summary Compensation Table calculation of compensation, the NEO’s realized or earned compensation, as well as from the way in which the Compensation Committee views annual compensation decisions, as discussed in the CD&amp;A. The amounts in the table below are calculated in accordance with SEC rules and do not represent amounts actually earned or realized by NEOs, including with respect to RSUs and PSUs which remain subject to forfeiture if the vesting conditions are not satisfied. </w:t>
      </w:r>
    </w:p>
    <w:p>
      <w:pPr>
        <w:pStyle w:val="TextBody"/>
        <w:bidi w:val="0"/>
        <w:spacing w:before="0" w:after="0"/>
        <w:jc w:val="left"/>
        <w:rPr/>
      </w:pPr>
      <w:r>
        <w:rPr/>
        <w:t> </w:t>
      </w:r>
    </w:p>
    <w:tbl>
      <w:tblPr>
        <w:tblW w:w="11235" w:type="dxa"/>
        <w:jc w:val="left"/>
        <w:tblInd w:w="0" w:type="dxa"/>
        <w:tblLayout w:type="fixed"/>
        <w:tblCellMar>
          <w:top w:w="0" w:type="dxa"/>
          <w:left w:w="0" w:type="dxa"/>
          <w:bottom w:w="0" w:type="dxa"/>
          <w:right w:w="0" w:type="dxa"/>
        </w:tblCellMar>
      </w:tblPr>
      <w:tblGrid>
        <w:gridCol w:w="455"/>
        <w:gridCol w:w="60"/>
        <w:gridCol w:w="77"/>
        <w:gridCol w:w="1413"/>
        <w:gridCol w:w="60"/>
        <w:gridCol w:w="60"/>
        <w:gridCol w:w="77"/>
        <w:gridCol w:w="1413"/>
        <w:gridCol w:w="60"/>
        <w:gridCol w:w="60"/>
        <w:gridCol w:w="90"/>
        <w:gridCol w:w="1475"/>
        <w:gridCol w:w="60"/>
        <w:gridCol w:w="60"/>
        <w:gridCol w:w="77"/>
        <w:gridCol w:w="1413"/>
        <w:gridCol w:w="60"/>
        <w:gridCol w:w="60"/>
        <w:gridCol w:w="101"/>
        <w:gridCol w:w="879"/>
        <w:gridCol w:w="60"/>
        <w:gridCol w:w="60"/>
        <w:gridCol w:w="101"/>
        <w:gridCol w:w="879"/>
        <w:gridCol w:w="60"/>
        <w:gridCol w:w="60"/>
        <w:gridCol w:w="87"/>
        <w:gridCol w:w="818"/>
        <w:gridCol w:w="60"/>
        <w:gridCol w:w="60"/>
        <w:gridCol w:w="67"/>
        <w:gridCol w:w="838"/>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vMerge w:val="restart"/>
            <w:tcBorders>
              <w:bottom w:val="single" w:sz="16" w:space="0" w:color="004876"/>
            </w:tcBorders>
            <w:shd w:fill="004876" w:val="clear"/>
            <w:tcMar>
              <w:bottom w:w="28" w:type="dxa"/>
            </w:tcMar>
            <w:vAlign w:val="center"/>
          </w:tcPr>
          <w:p>
            <w:pPr>
              <w:pStyle w:val="TableContents"/>
              <w:bidi w:val="0"/>
              <w:spacing w:before="0" w:after="0"/>
              <w:jc w:val="left"/>
              <w:rPr>
                <w:rFonts w:ascii="arial" w:hAnsi="arial"/>
                <w:b/>
                <w:color w:val="FFFFFF"/>
                <w:spacing w:val="0"/>
                <w:sz w:val="16"/>
              </w:rPr>
            </w:pPr>
            <w:r>
              <w:rPr>
                <w:rFonts w:ascii="arial" w:hAnsi="arial"/>
                <w:b/>
                <w:color w:val="FFFFFF"/>
                <w:spacing w:val="0"/>
                <w:sz w:val="16"/>
              </w:rPr>
              <w:t>Year</w:t>
            </w:r>
          </w:p>
          <w:p>
            <w:pPr>
              <w:pStyle w:val="TableContents"/>
              <w:bidi w:val="0"/>
              <w:spacing w:before="0" w:after="0"/>
              <w:jc w:val="left"/>
              <w:rPr>
                <w:rFonts w:ascii="arial" w:hAnsi="arial"/>
                <w:b/>
                <w:color w:val="FFFFFF"/>
                <w:spacing w:val="0"/>
                <w:sz w:val="9"/>
              </w:rPr>
            </w:pPr>
            <w:r>
              <w:rPr>
                <w:rFonts w:ascii="arial" w:hAnsi="arial"/>
                <w:b/>
                <w:color w:val="FFFFFF"/>
                <w:spacing w:val="0"/>
                <w:sz w:val="9"/>
              </w:rPr>
              <w:t>(1)</w:t>
            </w:r>
          </w:p>
        </w:tc>
        <w:tc>
          <w:tcPr>
            <w:tcW w:w="60" w:type="dxa"/>
            <w:vMerge w:val="restart"/>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490" w:type="dxa"/>
            <w:gridSpan w:val="2"/>
            <w:vMerge w:val="restart"/>
            <w:tcBorders>
              <w:bottom w:val="single" w:sz="16" w:space="0" w:color="004876"/>
            </w:tcBorders>
            <w:shd w:fill="004876" w:val="clear"/>
            <w:tcMar>
              <w:bottom w:w="28" w:type="dxa"/>
            </w:tcMar>
            <w:vAlign w:val="center"/>
          </w:tcPr>
          <w:p>
            <w:pPr>
              <w:pStyle w:val="TableContents"/>
              <w:bidi w:val="0"/>
              <w:spacing w:before="0" w:after="0"/>
              <w:jc w:val="center"/>
              <w:rPr>
                <w:b/>
                <w:color w:val="FFFFFF"/>
                <w:spacing w:val="0"/>
              </w:rPr>
            </w:pPr>
            <w:r>
              <w:rPr>
                <w:b/>
                <w:color w:val="FFFFFF"/>
                <w:spacing w:val="0"/>
              </w:rPr>
              <w:t>Summary</w:t>
              <w:br/>
              <w:t>Compensation</w:t>
              <w:br/>
              <w:t>Table Total</w:t>
              <w:br/>
              <w:t>for PEO ($)</w:t>
            </w:r>
          </w:p>
          <w:p>
            <w:pPr>
              <w:pStyle w:val="TableContents"/>
              <w:bidi w:val="0"/>
              <w:spacing w:before="0" w:after="0"/>
              <w:jc w:val="center"/>
              <w:rPr>
                <w:b/>
                <w:color w:val="FFFFFF"/>
                <w:spacing w:val="0"/>
                <w:sz w:val="9"/>
              </w:rPr>
            </w:pPr>
            <w:r>
              <w:rPr>
                <w:b/>
                <w:color w:val="FFFFFF"/>
                <w:spacing w:val="0"/>
                <w:sz w:val="9"/>
              </w:rPr>
              <w:t>(2)</w:t>
            </w:r>
          </w:p>
        </w:tc>
        <w:tc>
          <w:tcPr>
            <w:tcW w:w="60" w:type="dxa"/>
            <w:vMerge w:val="restart"/>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vMerge w:val="restart"/>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490" w:type="dxa"/>
            <w:gridSpan w:val="2"/>
            <w:vMerge w:val="restart"/>
            <w:tcBorders>
              <w:bottom w:val="single" w:sz="16" w:space="0" w:color="004876"/>
            </w:tcBorders>
            <w:shd w:fill="004876" w:val="clear"/>
            <w:tcMar>
              <w:bottom w:w="28" w:type="dxa"/>
            </w:tcMar>
            <w:vAlign w:val="center"/>
          </w:tcPr>
          <w:p>
            <w:pPr>
              <w:pStyle w:val="TableContents"/>
              <w:bidi w:val="0"/>
              <w:spacing w:before="0" w:after="0"/>
              <w:jc w:val="center"/>
              <w:rPr>
                <w:b/>
                <w:color w:val="FFFFFF"/>
                <w:spacing w:val="0"/>
              </w:rPr>
            </w:pPr>
            <w:r>
              <w:rPr>
                <w:b/>
                <w:color w:val="FFFFFF"/>
                <w:spacing w:val="0"/>
              </w:rPr>
              <w:t>Compensation</w:t>
              <w:br/>
              <w:t>Actually Paid</w:t>
              <w:br/>
              <w:t>to PEO ($)</w:t>
            </w:r>
          </w:p>
          <w:p>
            <w:pPr>
              <w:pStyle w:val="TableContents"/>
              <w:bidi w:val="0"/>
              <w:spacing w:before="0" w:after="0"/>
              <w:jc w:val="center"/>
              <w:rPr>
                <w:b/>
                <w:color w:val="FFFFFF"/>
                <w:spacing w:val="0"/>
                <w:sz w:val="9"/>
              </w:rPr>
            </w:pPr>
            <w:r>
              <w:rPr>
                <w:b/>
                <w:color w:val="FFFFFF"/>
                <w:spacing w:val="0"/>
                <w:sz w:val="9"/>
              </w:rPr>
              <w:t>(3)</w:t>
            </w:r>
          </w:p>
        </w:tc>
        <w:tc>
          <w:tcPr>
            <w:tcW w:w="60" w:type="dxa"/>
            <w:vMerge w:val="restart"/>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vMerge w:val="restart"/>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565" w:type="dxa"/>
            <w:gridSpan w:val="2"/>
            <w:vMerge w:val="restart"/>
            <w:tcBorders>
              <w:bottom w:val="single" w:sz="16" w:space="0" w:color="004876"/>
            </w:tcBorders>
            <w:shd w:fill="004876" w:val="clear"/>
            <w:tcMar>
              <w:bottom w:w="28" w:type="dxa"/>
            </w:tcMar>
            <w:vAlign w:val="center"/>
          </w:tcPr>
          <w:p>
            <w:pPr>
              <w:pStyle w:val="TableContents"/>
              <w:bidi w:val="0"/>
              <w:spacing w:before="0" w:after="0"/>
              <w:jc w:val="center"/>
              <w:rPr>
                <w:b/>
                <w:color w:val="FFFFFF"/>
                <w:spacing w:val="0"/>
              </w:rPr>
            </w:pPr>
            <w:r>
              <w:rPr>
                <w:b/>
                <w:color w:val="FFFFFF"/>
                <w:spacing w:val="0"/>
              </w:rPr>
              <w:t>Average</w:t>
              <w:br/>
              <w:t>Summary</w:t>
              <w:br/>
              <w:t>Compensation</w:t>
              <w:br/>
              <w:t>Table Total for</w:t>
            </w:r>
          </w:p>
          <w:p>
            <w:pPr>
              <w:pStyle w:val="TableContents"/>
              <w:bidi w:val="0"/>
              <w:spacing w:before="0" w:after="0"/>
              <w:jc w:val="center"/>
              <w:rPr>
                <w:b/>
                <w:color w:val="FFFFFF"/>
                <w:spacing w:val="0"/>
              </w:rPr>
            </w:pPr>
            <w:r>
              <w:rPr>
                <w:b/>
                <w:color w:val="FFFFFF"/>
                <w:spacing w:val="0"/>
              </w:rPr>
              <w:t>Non-PEO</w:t>
            </w:r>
          </w:p>
          <w:p>
            <w:pPr>
              <w:pStyle w:val="TableContents"/>
              <w:bidi w:val="0"/>
              <w:spacing w:before="0" w:after="0"/>
              <w:jc w:val="center"/>
              <w:rPr>
                <w:b/>
                <w:color w:val="FFFFFF"/>
                <w:spacing w:val="0"/>
              </w:rPr>
            </w:pPr>
            <w:r>
              <w:rPr>
                <w:b/>
                <w:color w:val="FFFFFF"/>
                <w:spacing w:val="0"/>
              </w:rPr>
              <w:br/>
              <w:t>NEOs ($)</w:t>
            </w:r>
          </w:p>
          <w:p>
            <w:pPr>
              <w:pStyle w:val="TableContents"/>
              <w:bidi w:val="0"/>
              <w:spacing w:before="0" w:after="0"/>
              <w:jc w:val="center"/>
              <w:rPr>
                <w:b/>
                <w:color w:val="FFFFFF"/>
                <w:spacing w:val="0"/>
                <w:sz w:val="9"/>
              </w:rPr>
            </w:pPr>
            <w:r>
              <w:rPr>
                <w:b/>
                <w:color w:val="FFFFFF"/>
                <w:spacing w:val="0"/>
                <w:sz w:val="9"/>
              </w:rPr>
              <w:t>(2)</w:t>
            </w:r>
          </w:p>
        </w:tc>
        <w:tc>
          <w:tcPr>
            <w:tcW w:w="60" w:type="dxa"/>
            <w:vMerge w:val="restart"/>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vMerge w:val="restart"/>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1490" w:type="dxa"/>
            <w:gridSpan w:val="2"/>
            <w:vMerge w:val="restart"/>
            <w:tcBorders>
              <w:bottom w:val="single" w:sz="16" w:space="0" w:color="004876"/>
            </w:tcBorders>
            <w:shd w:fill="004876" w:val="clear"/>
            <w:tcMar>
              <w:bottom w:w="28" w:type="dxa"/>
            </w:tcMar>
            <w:vAlign w:val="center"/>
          </w:tcPr>
          <w:p>
            <w:pPr>
              <w:pStyle w:val="TableContents"/>
              <w:bidi w:val="0"/>
              <w:spacing w:before="0" w:after="0"/>
              <w:jc w:val="center"/>
              <w:rPr>
                <w:b/>
                <w:color w:val="FFFFFF"/>
                <w:spacing w:val="0"/>
              </w:rPr>
            </w:pPr>
            <w:r>
              <w:rPr>
                <w:b/>
                <w:color w:val="FFFFFF"/>
                <w:spacing w:val="0"/>
              </w:rPr>
              <w:t>Average</w:t>
              <w:br/>
              <w:t>Compensation</w:t>
              <w:br/>
              <w:t>Actually Paid</w:t>
              <w:br/>
              <w:t xml:space="preserve">to </w:t>
            </w:r>
          </w:p>
          <w:p>
            <w:pPr>
              <w:pStyle w:val="TableContents"/>
              <w:bidi w:val="0"/>
              <w:spacing w:before="0" w:after="0"/>
              <w:jc w:val="center"/>
              <w:rPr>
                <w:b/>
                <w:color w:val="FFFFFF"/>
                <w:spacing w:val="0"/>
              </w:rPr>
            </w:pPr>
            <w:r>
              <w:rPr>
                <w:b/>
                <w:color w:val="FFFFFF"/>
                <w:spacing w:val="0"/>
              </w:rPr>
              <w:t>Non-PEO</w:t>
            </w:r>
          </w:p>
          <w:p>
            <w:pPr>
              <w:pStyle w:val="TableContents"/>
              <w:bidi w:val="0"/>
              <w:spacing w:before="0" w:after="0"/>
              <w:jc w:val="center"/>
              <w:rPr>
                <w:b/>
                <w:color w:val="FFFFFF"/>
                <w:spacing w:val="0"/>
              </w:rPr>
            </w:pPr>
            <w:r>
              <w:rPr>
                <w:b/>
                <w:color w:val="FFFFFF"/>
                <w:spacing w:val="0"/>
              </w:rPr>
              <w:br/>
              <w:t>NEOs ($)</w:t>
            </w:r>
          </w:p>
          <w:p>
            <w:pPr>
              <w:pStyle w:val="TableContents"/>
              <w:bidi w:val="0"/>
              <w:spacing w:before="0" w:after="0"/>
              <w:jc w:val="center"/>
              <w:rPr>
                <w:b/>
                <w:color w:val="FFFFFF"/>
                <w:spacing w:val="0"/>
                <w:sz w:val="9"/>
              </w:rPr>
            </w:pPr>
            <w:r>
              <w:rPr>
                <w:b/>
                <w:color w:val="FFFFFF"/>
                <w:spacing w:val="0"/>
                <w:sz w:val="9"/>
              </w:rPr>
              <w:t>(3)</w:t>
            </w:r>
          </w:p>
        </w:tc>
        <w:tc>
          <w:tcPr>
            <w:tcW w:w="60" w:type="dxa"/>
            <w:vMerge w:val="restart"/>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shd w:fill="004876" w:val="clear"/>
            <w:vAlign w:val="center"/>
          </w:tcPr>
          <w:p>
            <w:pPr>
              <w:pStyle w:val="TableContents"/>
              <w:bidi w:val="0"/>
              <w:spacing w:before="0" w:after="283"/>
              <w:jc w:val="left"/>
              <w:rPr/>
            </w:pPr>
            <w:r>
              <w:rPr/>
              <w:t> </w:t>
            </w:r>
          </w:p>
        </w:tc>
        <w:tc>
          <w:tcPr>
            <w:tcW w:w="2080" w:type="dxa"/>
            <w:gridSpan w:val="6"/>
            <w:tcBorders/>
            <w:shd w:fill="004876" w:val="clear"/>
            <w:vAlign w:val="center"/>
          </w:tcPr>
          <w:p>
            <w:pPr>
              <w:pStyle w:val="TableContents"/>
              <w:bidi w:val="0"/>
              <w:spacing w:before="0" w:after="0"/>
              <w:jc w:val="center"/>
              <w:rPr>
                <w:b/>
                <w:color w:val="FFFFFF"/>
                <w:spacing w:val="0"/>
              </w:rPr>
            </w:pPr>
            <w:r>
              <w:rPr>
                <w:b/>
                <w:color w:val="FFFFFF"/>
                <w:spacing w:val="0"/>
              </w:rPr>
              <w:t>Value of Initial Fixed $100</w:t>
              <w:br/>
              <w:t>Investment Based On:</w:t>
            </w:r>
          </w:p>
          <w:p>
            <w:pPr>
              <w:pStyle w:val="TableContents"/>
              <w:bidi w:val="0"/>
              <w:spacing w:before="0" w:after="0"/>
              <w:jc w:val="center"/>
              <w:rPr>
                <w:b/>
                <w:color w:val="FFFFFF"/>
                <w:spacing w:val="0"/>
                <w:sz w:val="9"/>
              </w:rPr>
            </w:pPr>
            <w:r>
              <w:rPr>
                <w:b/>
                <w:color w:val="FFFFFF"/>
                <w:spacing w:val="0"/>
                <w:sz w:val="9"/>
              </w:rPr>
              <w:t>(4)</w:t>
            </w:r>
          </w:p>
        </w:tc>
        <w:tc>
          <w:tcPr>
            <w:tcW w:w="60" w:type="dxa"/>
            <w:tcBorders/>
            <w:shd w:fill="004876" w:val="clear"/>
            <w:vAlign w:val="center"/>
          </w:tcPr>
          <w:p>
            <w:pPr>
              <w:pStyle w:val="TableContents"/>
              <w:bidi w:val="0"/>
              <w:spacing w:before="0" w:after="283"/>
              <w:jc w:val="left"/>
              <w:rPr/>
            </w:pPr>
            <w:r>
              <w:rPr/>
              <w:t> </w:t>
            </w:r>
          </w:p>
        </w:tc>
        <w:tc>
          <w:tcPr>
            <w:tcW w:w="60" w:type="dxa"/>
            <w:vMerge w:val="restart"/>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905" w:type="dxa"/>
            <w:gridSpan w:val="2"/>
            <w:vMerge w:val="restart"/>
            <w:tcBorders>
              <w:bottom w:val="single" w:sz="16" w:space="0" w:color="004876"/>
            </w:tcBorders>
            <w:shd w:fill="004876" w:val="clear"/>
            <w:tcMar>
              <w:bottom w:w="28" w:type="dxa"/>
            </w:tcM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Net Income</w:t>
              <w:br/>
              <w:t>(Loss)</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(in millions)</w:t>
              <w:br/>
              <w:t>($)</w:t>
            </w:r>
          </w:p>
        </w:tc>
        <w:tc>
          <w:tcPr>
            <w:tcW w:w="60" w:type="dxa"/>
            <w:vMerge w:val="restart"/>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60" w:type="dxa"/>
            <w:vMerge w:val="restart"/>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c>
          <w:tcPr>
            <w:tcW w:w="905" w:type="dxa"/>
            <w:gridSpan w:val="2"/>
            <w:vMerge w:val="restart"/>
            <w:tcBorders>
              <w:bottom w:val="single" w:sz="16" w:space="0" w:color="004876"/>
            </w:tcBorders>
            <w:shd w:fill="004876" w:val="clear"/>
            <w:tcMar>
              <w:bottom w:w="28" w:type="dxa"/>
            </w:tcM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Adjusted</w:t>
            </w:r>
          </w:p>
          <w:p>
            <w:pPr>
              <w:pStyle w:val="TableContents"/>
              <w:bidi w:val="0"/>
              <w:spacing w:before="0" w:after="0"/>
              <w:jc w:val="center"/>
              <w:rPr>
                <w:color w:val="FFFFFF"/>
                <w:spacing w:val="0"/>
              </w:rPr>
            </w:pPr>
            <w:r>
              <w:rPr>
                <w:color w:val="FFFFFF"/>
                <w:spacing w:val="0"/>
              </w:rPr>
              <w:t>  </w:t>
            </w:r>
            <w:r>
              <w:rPr>
                <w:rFonts w:ascii="arial" w:hAnsi="arial"/>
                <w:b/>
                <w:color w:val="FFFFFF"/>
                <w:spacing w:val="0"/>
                <w:sz w:val="16"/>
              </w:rPr>
              <w:t>EBITDA  </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(in millions)</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(6)</w:t>
            </w:r>
          </w:p>
        </w:tc>
        <w:tc>
          <w:tcPr>
            <w:tcW w:w="75" w:type="dxa"/>
            <w:vMerge w:val="restart"/>
            <w:tcBorders>
              <w:bottom w:val="single" w:sz="16" w:space="0" w:color="004876"/>
            </w:tcBorders>
            <w:shd w:fill="004876" w:val="clear"/>
            <w:tcMar>
              <w:bottom w:w="28" w:type="dxa"/>
            </w:tcMar>
            <w:vAlign w:val="center"/>
          </w:tcPr>
          <w:p>
            <w:pPr>
              <w:pStyle w:val="TableContents"/>
              <w:bidi w:val="0"/>
              <w:spacing w:before="0" w:after="283"/>
              <w:jc w:val="left"/>
              <w:rPr/>
            </w:pPr>
            <w:r>
              <w:rPr/>
              <w:t> </w:t>
            </w:r>
          </w:p>
        </w:tc>
      </w:tr>
      <w:tr>
        <w:trPr/>
        <w:tc>
          <w:tcPr>
            <w:tcW w:w="455" w:type="dxa"/>
            <w:vMerge w:val="continue"/>
            <w:tcBorders>
              <w:bottom w:val="single" w:sz="16" w:space="0" w:color="004876"/>
            </w:tcBorders>
            <w:shd w:fill="004876" w:val="clear"/>
            <w:tcMar>
              <w:bottom w:w="28" w:type="dxa"/>
            </w:tcMar>
            <w:vAlign w:val="center"/>
          </w:tcPr>
          <w:p>
            <w:pPr>
              <w:pStyle w:val="Normal"/>
              <w:bidi w:val="0"/>
              <w:jc w:val="left"/>
              <w:rPr/>
            </w:pPr>
            <w:r>
              <w:rPr/>
            </w:r>
          </w:p>
        </w:tc>
        <w:tc>
          <w:tcPr>
            <w:tcW w:w="60" w:type="dxa"/>
            <w:vMerge w:val="continue"/>
            <w:tcBorders>
              <w:bottom w:val="single" w:sz="16" w:space="0" w:color="004876"/>
            </w:tcBorders>
            <w:shd w:fill="004876" w:val="clear"/>
            <w:tcMar>
              <w:bottom w:w="28" w:type="dxa"/>
            </w:tcMar>
            <w:vAlign w:val="center"/>
          </w:tcPr>
          <w:p>
            <w:pPr>
              <w:pStyle w:val="Normal"/>
              <w:bidi w:val="0"/>
              <w:jc w:val="left"/>
              <w:rPr/>
            </w:pPr>
            <w:r>
              <w:rPr/>
            </w:r>
          </w:p>
        </w:tc>
        <w:tc>
          <w:tcPr>
            <w:tcW w:w="1490" w:type="dxa"/>
            <w:gridSpan w:val="2"/>
            <w:vMerge w:val="continue"/>
            <w:tcBorders>
              <w:bottom w:val="single" w:sz="16" w:space="0" w:color="004876"/>
            </w:tcBorders>
            <w:shd w:fill="004876" w:val="clear"/>
            <w:tcMar>
              <w:bottom w:w="28" w:type="dxa"/>
            </w:tcMar>
            <w:vAlign w:val="center"/>
          </w:tcPr>
          <w:p>
            <w:pPr>
              <w:pStyle w:val="Normal"/>
              <w:bidi w:val="0"/>
              <w:jc w:val="left"/>
              <w:rPr/>
            </w:pPr>
            <w:r>
              <w:rPr/>
            </w:r>
          </w:p>
        </w:tc>
        <w:tc>
          <w:tcPr>
            <w:tcW w:w="60" w:type="dxa"/>
            <w:vMerge w:val="continue"/>
            <w:tcBorders>
              <w:bottom w:val="single" w:sz="16" w:space="0" w:color="004876"/>
            </w:tcBorders>
            <w:shd w:fill="004876" w:val="clear"/>
            <w:tcMar>
              <w:bottom w:w="28" w:type="dxa"/>
            </w:tcMar>
            <w:vAlign w:val="center"/>
          </w:tcPr>
          <w:p>
            <w:pPr>
              <w:pStyle w:val="Normal"/>
              <w:bidi w:val="0"/>
              <w:jc w:val="left"/>
              <w:rPr/>
            </w:pPr>
            <w:r>
              <w:rPr/>
            </w:r>
          </w:p>
        </w:tc>
        <w:tc>
          <w:tcPr>
            <w:tcW w:w="60" w:type="dxa"/>
            <w:vMerge w:val="continue"/>
            <w:tcBorders>
              <w:bottom w:val="single" w:sz="16" w:space="0" w:color="004876"/>
            </w:tcBorders>
            <w:shd w:fill="004876" w:val="clear"/>
            <w:tcMar>
              <w:bottom w:w="28" w:type="dxa"/>
            </w:tcMar>
            <w:vAlign w:val="center"/>
          </w:tcPr>
          <w:p>
            <w:pPr>
              <w:pStyle w:val="Normal"/>
              <w:bidi w:val="0"/>
              <w:jc w:val="left"/>
              <w:rPr/>
            </w:pPr>
            <w:r>
              <w:rPr/>
            </w:r>
          </w:p>
        </w:tc>
        <w:tc>
          <w:tcPr>
            <w:tcW w:w="1490" w:type="dxa"/>
            <w:gridSpan w:val="2"/>
            <w:vMerge w:val="continue"/>
            <w:tcBorders>
              <w:bottom w:val="single" w:sz="16" w:space="0" w:color="004876"/>
            </w:tcBorders>
            <w:shd w:fill="004876" w:val="clear"/>
            <w:tcMar>
              <w:bottom w:w="28" w:type="dxa"/>
            </w:tcMar>
            <w:vAlign w:val="center"/>
          </w:tcPr>
          <w:p>
            <w:pPr>
              <w:pStyle w:val="Normal"/>
              <w:bidi w:val="0"/>
              <w:jc w:val="left"/>
              <w:rPr/>
            </w:pPr>
            <w:r>
              <w:rPr/>
            </w:r>
          </w:p>
        </w:tc>
        <w:tc>
          <w:tcPr>
            <w:tcW w:w="60" w:type="dxa"/>
            <w:vMerge w:val="continue"/>
            <w:tcBorders>
              <w:bottom w:val="single" w:sz="16" w:space="0" w:color="004876"/>
            </w:tcBorders>
            <w:shd w:fill="004876" w:val="clear"/>
            <w:tcMar>
              <w:bottom w:w="28" w:type="dxa"/>
            </w:tcMar>
            <w:vAlign w:val="center"/>
          </w:tcPr>
          <w:p>
            <w:pPr>
              <w:pStyle w:val="Normal"/>
              <w:bidi w:val="0"/>
              <w:jc w:val="left"/>
              <w:rPr/>
            </w:pPr>
            <w:r>
              <w:rPr/>
            </w:r>
          </w:p>
        </w:tc>
        <w:tc>
          <w:tcPr>
            <w:tcW w:w="60" w:type="dxa"/>
            <w:vMerge w:val="continue"/>
            <w:tcBorders>
              <w:bottom w:val="single" w:sz="16" w:space="0" w:color="004876"/>
            </w:tcBorders>
            <w:shd w:fill="004876" w:val="clear"/>
            <w:tcMar>
              <w:bottom w:w="28" w:type="dxa"/>
            </w:tcMar>
            <w:vAlign w:val="center"/>
          </w:tcPr>
          <w:p>
            <w:pPr>
              <w:pStyle w:val="Normal"/>
              <w:bidi w:val="0"/>
              <w:jc w:val="left"/>
              <w:rPr/>
            </w:pPr>
            <w:r>
              <w:rPr/>
            </w:r>
          </w:p>
        </w:tc>
        <w:tc>
          <w:tcPr>
            <w:tcW w:w="1565" w:type="dxa"/>
            <w:gridSpan w:val="2"/>
            <w:vMerge w:val="continue"/>
            <w:tcBorders>
              <w:bottom w:val="single" w:sz="16" w:space="0" w:color="004876"/>
            </w:tcBorders>
            <w:shd w:fill="004876" w:val="clear"/>
            <w:tcMar>
              <w:bottom w:w="28" w:type="dxa"/>
            </w:tcMar>
            <w:vAlign w:val="center"/>
          </w:tcPr>
          <w:p>
            <w:pPr>
              <w:pStyle w:val="Normal"/>
              <w:bidi w:val="0"/>
              <w:jc w:val="left"/>
              <w:rPr/>
            </w:pPr>
            <w:r>
              <w:rPr/>
            </w:r>
          </w:p>
        </w:tc>
        <w:tc>
          <w:tcPr>
            <w:tcW w:w="60" w:type="dxa"/>
            <w:vMerge w:val="continue"/>
            <w:tcBorders>
              <w:bottom w:val="single" w:sz="16" w:space="0" w:color="004876"/>
            </w:tcBorders>
            <w:shd w:fill="004876" w:val="clear"/>
            <w:tcMar>
              <w:bottom w:w="28" w:type="dxa"/>
            </w:tcMar>
            <w:vAlign w:val="center"/>
          </w:tcPr>
          <w:p>
            <w:pPr>
              <w:pStyle w:val="Normal"/>
              <w:bidi w:val="0"/>
              <w:jc w:val="left"/>
              <w:rPr/>
            </w:pPr>
            <w:r>
              <w:rPr/>
            </w:r>
          </w:p>
        </w:tc>
        <w:tc>
          <w:tcPr>
            <w:tcW w:w="60" w:type="dxa"/>
            <w:vMerge w:val="continue"/>
            <w:tcBorders>
              <w:bottom w:val="single" w:sz="16" w:space="0" w:color="004876"/>
            </w:tcBorders>
            <w:shd w:fill="004876" w:val="clear"/>
            <w:tcMar>
              <w:bottom w:w="28" w:type="dxa"/>
            </w:tcMar>
            <w:vAlign w:val="center"/>
          </w:tcPr>
          <w:p>
            <w:pPr>
              <w:pStyle w:val="Normal"/>
              <w:bidi w:val="0"/>
              <w:jc w:val="left"/>
              <w:rPr/>
            </w:pPr>
            <w:r>
              <w:rPr/>
            </w:r>
          </w:p>
        </w:tc>
        <w:tc>
          <w:tcPr>
            <w:tcW w:w="1490" w:type="dxa"/>
            <w:gridSpan w:val="2"/>
            <w:vMerge w:val="continue"/>
            <w:tcBorders>
              <w:bottom w:val="single" w:sz="16" w:space="0" w:color="004876"/>
            </w:tcBorders>
            <w:shd w:fill="004876" w:val="clear"/>
            <w:tcMar>
              <w:bottom w:w="28" w:type="dxa"/>
            </w:tcMar>
            <w:vAlign w:val="center"/>
          </w:tcPr>
          <w:p>
            <w:pPr>
              <w:pStyle w:val="Normal"/>
              <w:bidi w:val="0"/>
              <w:jc w:val="left"/>
              <w:rPr/>
            </w:pPr>
            <w:r>
              <w:rPr/>
            </w:r>
          </w:p>
        </w:tc>
        <w:tc>
          <w:tcPr>
            <w:tcW w:w="60" w:type="dxa"/>
            <w:vMerge w:val="continue"/>
            <w:tcBorders>
              <w:bottom w:val="single" w:sz="16" w:space="0" w:color="004876"/>
            </w:tcBorders>
            <w:shd w:fill="004876" w:val="clear"/>
            <w:tcMar>
              <w:bottom w:w="28" w:type="dxa"/>
            </w:tcMar>
            <w:vAlign w:val="center"/>
          </w:tcPr>
          <w:p>
            <w:pPr>
              <w:pStyle w:val="Normal"/>
              <w:bidi w:val="0"/>
              <w:jc w:val="left"/>
              <w:rPr/>
            </w:pPr>
            <w:r>
              <w:rPr/>
            </w:r>
          </w:p>
        </w:tc>
        <w:tc>
          <w:tcPr>
            <w:tcW w:w="6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980" w:type="dxa"/>
            <w:gridSpan w:val="2"/>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Total</w:t>
              <w:br/>
              <w:t>Shareholder</w:t>
              <w:br/>
              <w:t>Return</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(4)</w:t>
            </w:r>
          </w:p>
        </w:tc>
        <w:tc>
          <w:tcPr>
            <w:tcW w:w="6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6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980" w:type="dxa"/>
            <w:gridSpan w:val="2"/>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Peer Group</w:t>
              <w:br/>
              <w:t>Total</w:t>
              <w:br/>
              <w:t>Shareholder</w:t>
              <w:br/>
              <w:t>Return</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(5)</w:t>
            </w:r>
          </w:p>
        </w:tc>
        <w:tc>
          <w:tcPr>
            <w:tcW w:w="6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60" w:type="dxa"/>
            <w:vMerge w:val="continue"/>
            <w:tcBorders>
              <w:bottom w:val="single" w:sz="16" w:space="0" w:color="004876"/>
            </w:tcBorders>
            <w:shd w:fill="004876" w:val="clear"/>
            <w:tcMar>
              <w:bottom w:w="28" w:type="dxa"/>
            </w:tcMar>
            <w:vAlign w:val="center"/>
          </w:tcPr>
          <w:p>
            <w:pPr>
              <w:pStyle w:val="Normal"/>
              <w:bidi w:val="0"/>
              <w:jc w:val="left"/>
              <w:rPr/>
            </w:pPr>
            <w:r>
              <w:rPr/>
            </w:r>
          </w:p>
        </w:tc>
        <w:tc>
          <w:tcPr>
            <w:tcW w:w="905" w:type="dxa"/>
            <w:gridSpan w:val="2"/>
            <w:vMerge w:val="continue"/>
            <w:tcBorders>
              <w:bottom w:val="single" w:sz="16" w:space="0" w:color="004876"/>
            </w:tcBorders>
            <w:shd w:fill="004876" w:val="clear"/>
            <w:tcMar>
              <w:bottom w:w="28" w:type="dxa"/>
            </w:tcMar>
            <w:vAlign w:val="center"/>
          </w:tcPr>
          <w:p>
            <w:pPr>
              <w:pStyle w:val="Normal"/>
              <w:bidi w:val="0"/>
              <w:jc w:val="left"/>
              <w:rPr/>
            </w:pPr>
            <w:r>
              <w:rPr/>
            </w:r>
          </w:p>
        </w:tc>
        <w:tc>
          <w:tcPr>
            <w:tcW w:w="60" w:type="dxa"/>
            <w:vMerge w:val="continue"/>
            <w:tcBorders>
              <w:bottom w:val="single" w:sz="16" w:space="0" w:color="004876"/>
            </w:tcBorders>
            <w:shd w:fill="004876" w:val="clear"/>
            <w:tcMar>
              <w:bottom w:w="28" w:type="dxa"/>
            </w:tcMar>
            <w:vAlign w:val="center"/>
          </w:tcPr>
          <w:p>
            <w:pPr>
              <w:pStyle w:val="Normal"/>
              <w:bidi w:val="0"/>
              <w:jc w:val="left"/>
              <w:rPr/>
            </w:pPr>
            <w:r>
              <w:rPr/>
            </w:r>
          </w:p>
        </w:tc>
        <w:tc>
          <w:tcPr>
            <w:tcW w:w="60" w:type="dxa"/>
            <w:vMerge w:val="continue"/>
            <w:tcBorders>
              <w:bottom w:val="single" w:sz="16" w:space="0" w:color="004876"/>
            </w:tcBorders>
            <w:shd w:fill="004876" w:val="clear"/>
            <w:tcMar>
              <w:bottom w:w="28" w:type="dxa"/>
            </w:tcMar>
            <w:vAlign w:val="center"/>
          </w:tcPr>
          <w:p>
            <w:pPr>
              <w:pStyle w:val="Normal"/>
              <w:bidi w:val="0"/>
              <w:jc w:val="left"/>
              <w:rPr/>
            </w:pPr>
            <w:r>
              <w:rPr/>
            </w:r>
          </w:p>
        </w:tc>
        <w:tc>
          <w:tcPr>
            <w:tcW w:w="905" w:type="dxa"/>
            <w:gridSpan w:val="2"/>
            <w:vMerge w:val="continue"/>
            <w:tcBorders>
              <w:bottom w:val="single" w:sz="16" w:space="0" w:color="004876"/>
            </w:tcBorders>
            <w:shd w:fill="004876" w:val="clear"/>
            <w:tcMar>
              <w:bottom w:w="28" w:type="dxa"/>
            </w:tcMar>
            <w:vAlign w:val="center"/>
          </w:tcPr>
          <w:p>
            <w:pPr>
              <w:pStyle w:val="Normal"/>
              <w:bidi w:val="0"/>
              <w:jc w:val="left"/>
              <w:rPr/>
            </w:pPr>
            <w:r>
              <w:rPr/>
            </w:r>
          </w:p>
        </w:tc>
        <w:tc>
          <w:tcPr>
            <w:tcW w:w="75" w:type="dxa"/>
            <w:vMerge w:val="continue"/>
            <w:tcBorders>
              <w:bottom w:val="single" w:sz="16" w:space="0" w:color="004876"/>
            </w:tcBorders>
            <w:shd w:fill="004876" w:val="clear"/>
            <w:tcMar>
              <w:bottom w:w="28" w:type="dxa"/>
            </w:tcMar>
            <w:vAlign w:val="center"/>
          </w:tcPr>
          <w:p>
            <w:pPr>
              <w:pStyle w:val="Normal"/>
              <w:bidi w:val="0"/>
              <w:jc w:val="left"/>
              <w:rPr/>
            </w:pPr>
            <w:r>
              <w:rPr/>
            </w:r>
          </w:p>
        </w:tc>
      </w:tr>
      <w:tr>
        <w:trPr/>
        <w:tc>
          <w:tcPr>
            <w:tcW w:w="455" w:type="dxa"/>
            <w:tcBorders/>
            <w:shd w:fill="F4F0DC" w:val="clear"/>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2025</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19,172,839</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13,047,095</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0" w:type="dxa"/>
            <w:tcBorders>
              <w:bottom w:val="single" w:sz="6" w:space="0" w:color="B99C16"/>
            </w:tcBorders>
            <w:tcMar>
              <w:bottom w:w="80" w:type="dxa"/>
            </w:tcMar>
            <w:vAlign w:val="center"/>
          </w:tcPr>
          <w:p>
            <w:pPr>
              <w:pStyle w:val="TableContents"/>
              <w:bidi w:val="0"/>
              <w:spacing w:before="0" w:after="283"/>
              <w:jc w:val="left"/>
              <w:rPr/>
            </w:pPr>
            <w:r>
              <w:rPr/>
              <w:t> </w:t>
            </w:r>
          </w:p>
        </w:tc>
        <w:tc>
          <w:tcPr>
            <w:tcW w:w="1475" w:type="dxa"/>
            <w:tcBorders>
              <w:bottom w:val="single" w:sz="6" w:space="0" w:color="B99C16"/>
            </w:tcBorders>
            <w:tcMar>
              <w:bottom w:w="80" w:type="dxa"/>
            </w:tcMar>
            <w:vAlign w:val="center"/>
          </w:tcPr>
          <w:p>
            <w:pPr>
              <w:pStyle w:val="TableContents"/>
              <w:bidi w:val="0"/>
              <w:spacing w:before="0" w:after="283"/>
              <w:jc w:val="right"/>
              <w:rPr/>
            </w:pPr>
            <w:r>
              <w:rPr/>
              <w:t>4,256,383</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3,206,460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80" w:type="dxa"/>
            </w:tcMar>
            <w:vAlign w:val="center"/>
          </w:tcPr>
          <w:p>
            <w:pPr>
              <w:pStyle w:val="TableContents"/>
              <w:bidi w:val="0"/>
              <w:spacing w:before="0" w:after="283"/>
              <w:jc w:val="left"/>
              <w:rPr/>
            </w:pPr>
            <w:r>
              <w:rPr/>
              <w:t> </w:t>
            </w:r>
          </w:p>
        </w:tc>
        <w:tc>
          <w:tcPr>
            <w:tcW w:w="879" w:type="dxa"/>
            <w:tcBorders>
              <w:bottom w:val="single" w:sz="6" w:space="0" w:color="B99C16"/>
            </w:tcBorders>
            <w:tcMar>
              <w:bottom w:w="80" w:type="dxa"/>
            </w:tcMar>
            <w:vAlign w:val="center"/>
          </w:tcPr>
          <w:p>
            <w:pPr>
              <w:pStyle w:val="TableContents"/>
              <w:bidi w:val="0"/>
              <w:spacing w:before="0" w:after="283"/>
              <w:jc w:val="right"/>
              <w:rPr/>
            </w:pPr>
            <w:r>
              <w:rPr/>
              <w:t>118.66</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80" w:type="dxa"/>
            </w:tcMar>
            <w:vAlign w:val="center"/>
          </w:tcPr>
          <w:p>
            <w:pPr>
              <w:pStyle w:val="TableContents"/>
              <w:bidi w:val="0"/>
              <w:spacing w:before="0" w:after="283"/>
              <w:jc w:val="left"/>
              <w:rPr/>
            </w:pPr>
            <w:r>
              <w:rPr/>
              <w:t> </w:t>
            </w:r>
          </w:p>
        </w:tc>
        <w:tc>
          <w:tcPr>
            <w:tcW w:w="879" w:type="dxa"/>
            <w:tcBorders>
              <w:bottom w:val="single" w:sz="6" w:space="0" w:color="B99C16"/>
            </w:tcBorders>
            <w:tcMar>
              <w:bottom w:w="80" w:type="dxa"/>
            </w:tcMar>
            <w:vAlign w:val="center"/>
          </w:tcPr>
          <w:p>
            <w:pPr>
              <w:pStyle w:val="TableContents"/>
              <w:bidi w:val="0"/>
              <w:spacing w:before="0" w:after="283"/>
              <w:jc w:val="right"/>
              <w:rPr/>
            </w:pPr>
            <w:r>
              <w:rPr/>
              <w:t>105.05</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7" w:type="dxa"/>
            <w:tcBorders>
              <w:bottom w:val="single" w:sz="6" w:space="0" w:color="B99C16"/>
            </w:tcBorders>
            <w:tcMar>
              <w:bottom w:w="80" w:type="dxa"/>
            </w:tcMar>
            <w:vAlign w:val="center"/>
          </w:tcPr>
          <w:p>
            <w:pPr>
              <w:pStyle w:val="TableContents"/>
              <w:bidi w:val="0"/>
              <w:spacing w:before="0" w:after="283"/>
              <w:jc w:val="left"/>
              <w:rPr/>
            </w:pPr>
            <w:r>
              <w:rPr/>
              <w:t> </w:t>
            </w:r>
          </w:p>
        </w:tc>
        <w:tc>
          <w:tcPr>
            <w:tcW w:w="818" w:type="dxa"/>
            <w:tcBorders>
              <w:bottom w:val="single" w:sz="6" w:space="0" w:color="B99C16"/>
            </w:tcBorders>
            <w:tcMar>
              <w:bottom w:w="80" w:type="dxa"/>
            </w:tcMar>
            <w:vAlign w:val="center"/>
          </w:tcPr>
          <w:p>
            <w:pPr>
              <w:pStyle w:val="TableContents"/>
              <w:bidi w:val="0"/>
              <w:spacing w:before="0" w:after="283"/>
              <w:jc w:val="right"/>
              <w:rPr/>
            </w:pPr>
            <w:r>
              <w:rPr/>
              <w:t>383.0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7" w:type="dxa"/>
            <w:tcBorders>
              <w:bottom w:val="single" w:sz="6" w:space="0" w:color="B99C16"/>
            </w:tcBorders>
            <w:tcMar>
              <w:bottom w:w="80" w:type="dxa"/>
            </w:tcMar>
            <w:vAlign w:val="center"/>
          </w:tcPr>
          <w:p>
            <w:pPr>
              <w:pStyle w:val="TableContents"/>
              <w:bidi w:val="0"/>
              <w:spacing w:before="0" w:after="283"/>
              <w:jc w:val="left"/>
              <w:rPr/>
            </w:pPr>
            <w:r>
              <w:rPr/>
              <w:t> </w:t>
            </w:r>
          </w:p>
        </w:tc>
        <w:tc>
          <w:tcPr>
            <w:tcW w:w="838" w:type="dxa"/>
            <w:tcBorders>
              <w:bottom w:val="single" w:sz="6" w:space="0" w:color="B99C16"/>
            </w:tcBorders>
            <w:tcMar>
              <w:bottom w:w="80" w:type="dxa"/>
            </w:tcMar>
            <w:vAlign w:val="center"/>
          </w:tcPr>
          <w:p>
            <w:pPr>
              <w:pStyle w:val="TableContents"/>
              <w:bidi w:val="0"/>
              <w:spacing w:before="0" w:after="283"/>
              <w:jc w:val="right"/>
              <w:rPr/>
            </w:pPr>
            <w:r>
              <w:rPr/>
              <w:t>1,205.3</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455" w:type="dxa"/>
            <w:tcBorders/>
            <w:shd w:fill="F4F0DC" w:val="clear"/>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2024</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15,103,663</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20,419,147</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0" w:type="dxa"/>
            <w:tcBorders>
              <w:bottom w:val="single" w:sz="6" w:space="0" w:color="B99C16"/>
            </w:tcBorders>
            <w:tcMar>
              <w:bottom w:w="80" w:type="dxa"/>
            </w:tcMar>
            <w:vAlign w:val="center"/>
          </w:tcPr>
          <w:p>
            <w:pPr>
              <w:pStyle w:val="TableContents"/>
              <w:bidi w:val="0"/>
              <w:spacing w:before="0" w:after="283"/>
              <w:jc w:val="left"/>
              <w:rPr/>
            </w:pPr>
            <w:r>
              <w:rPr/>
              <w:t> </w:t>
            </w:r>
          </w:p>
        </w:tc>
        <w:tc>
          <w:tcPr>
            <w:tcW w:w="1475" w:type="dxa"/>
            <w:tcBorders>
              <w:bottom w:val="single" w:sz="6" w:space="0" w:color="B99C16"/>
            </w:tcBorders>
            <w:tcMar>
              <w:bottom w:w="80" w:type="dxa"/>
            </w:tcMar>
            <w:vAlign w:val="center"/>
          </w:tcPr>
          <w:p>
            <w:pPr>
              <w:pStyle w:val="TableContents"/>
              <w:bidi w:val="0"/>
              <w:spacing w:before="0" w:after="283"/>
              <w:jc w:val="right"/>
              <w:rPr/>
            </w:pPr>
            <w:r>
              <w:rPr/>
              <w:t>4,147,757</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5,452,616</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80" w:type="dxa"/>
            </w:tcMar>
            <w:vAlign w:val="center"/>
          </w:tcPr>
          <w:p>
            <w:pPr>
              <w:pStyle w:val="TableContents"/>
              <w:bidi w:val="0"/>
              <w:spacing w:before="0" w:after="283"/>
              <w:jc w:val="left"/>
              <w:rPr/>
            </w:pPr>
            <w:r>
              <w:rPr/>
              <w:t> </w:t>
            </w:r>
          </w:p>
        </w:tc>
        <w:tc>
          <w:tcPr>
            <w:tcW w:w="879" w:type="dxa"/>
            <w:tcBorders>
              <w:bottom w:val="single" w:sz="6" w:space="0" w:color="B99C16"/>
            </w:tcBorders>
            <w:tcMar>
              <w:bottom w:w="80" w:type="dxa"/>
            </w:tcMar>
            <w:vAlign w:val="center"/>
          </w:tcPr>
          <w:p>
            <w:pPr>
              <w:pStyle w:val="TableContents"/>
              <w:bidi w:val="0"/>
              <w:spacing w:before="0" w:after="283"/>
              <w:jc w:val="right"/>
              <w:rPr/>
            </w:pPr>
            <w:r>
              <w:rPr/>
              <w:t>138.75</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80" w:type="dxa"/>
            </w:tcMar>
            <w:vAlign w:val="center"/>
          </w:tcPr>
          <w:p>
            <w:pPr>
              <w:pStyle w:val="TableContents"/>
              <w:bidi w:val="0"/>
              <w:spacing w:before="0" w:after="283"/>
              <w:jc w:val="left"/>
              <w:rPr/>
            </w:pPr>
            <w:r>
              <w:rPr/>
              <w:t> </w:t>
            </w:r>
          </w:p>
        </w:tc>
        <w:tc>
          <w:tcPr>
            <w:tcW w:w="879" w:type="dxa"/>
            <w:tcBorders>
              <w:bottom w:val="single" w:sz="6" w:space="0" w:color="B99C16"/>
            </w:tcBorders>
            <w:tcMar>
              <w:bottom w:w="80" w:type="dxa"/>
            </w:tcMar>
            <w:vAlign w:val="center"/>
          </w:tcPr>
          <w:p>
            <w:pPr>
              <w:pStyle w:val="TableContents"/>
              <w:bidi w:val="0"/>
              <w:spacing w:before="0" w:after="283"/>
              <w:jc w:val="right"/>
              <w:rPr/>
            </w:pPr>
            <w:r>
              <w:rPr/>
              <w:t>108.90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7" w:type="dxa"/>
            <w:tcBorders>
              <w:bottom w:val="single" w:sz="6" w:space="0" w:color="B99C16"/>
            </w:tcBorders>
            <w:tcMar>
              <w:bottom w:w="80" w:type="dxa"/>
            </w:tcMar>
            <w:vAlign w:val="center"/>
          </w:tcPr>
          <w:p>
            <w:pPr>
              <w:pStyle w:val="TableContents"/>
              <w:bidi w:val="0"/>
              <w:spacing w:before="0" w:after="283"/>
              <w:jc w:val="left"/>
              <w:rPr/>
            </w:pPr>
            <w:r>
              <w:rPr/>
              <w:t> </w:t>
            </w:r>
          </w:p>
        </w:tc>
        <w:tc>
          <w:tcPr>
            <w:tcW w:w="818" w:type="dxa"/>
            <w:tcBorders>
              <w:bottom w:val="single" w:sz="6" w:space="0" w:color="B99C16"/>
            </w:tcBorders>
            <w:tcMar>
              <w:bottom w:w="80" w:type="dxa"/>
            </w:tcMar>
            <w:vAlign w:val="center"/>
          </w:tcPr>
          <w:p>
            <w:pPr>
              <w:pStyle w:val="TableContents"/>
              <w:bidi w:val="0"/>
              <w:spacing w:before="0" w:after="283"/>
              <w:jc w:val="right"/>
              <w:rPr/>
            </w:pPr>
            <w:r>
              <w:rPr/>
              <w:t>426.8</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7" w:type="dxa"/>
            <w:tcBorders>
              <w:bottom w:val="single" w:sz="6" w:space="0" w:color="B99C16"/>
            </w:tcBorders>
            <w:tcMar>
              <w:bottom w:w="80" w:type="dxa"/>
            </w:tcMar>
            <w:vAlign w:val="center"/>
          </w:tcPr>
          <w:p>
            <w:pPr>
              <w:pStyle w:val="TableContents"/>
              <w:bidi w:val="0"/>
              <w:spacing w:before="0" w:after="283"/>
              <w:jc w:val="left"/>
              <w:rPr/>
            </w:pPr>
            <w:r>
              <w:rPr/>
              <w:t> </w:t>
            </w:r>
          </w:p>
        </w:tc>
        <w:tc>
          <w:tcPr>
            <w:tcW w:w="838" w:type="dxa"/>
            <w:tcBorders>
              <w:bottom w:val="single" w:sz="6" w:space="0" w:color="B99C16"/>
            </w:tcBorders>
            <w:tcMar>
              <w:bottom w:w="80" w:type="dxa"/>
            </w:tcMar>
            <w:vAlign w:val="center"/>
          </w:tcPr>
          <w:p>
            <w:pPr>
              <w:pStyle w:val="TableContents"/>
              <w:bidi w:val="0"/>
              <w:spacing w:before="0" w:after="283"/>
              <w:jc w:val="right"/>
              <w:rPr/>
            </w:pPr>
            <w:r>
              <w:rPr/>
              <w:t>1,159.2</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455" w:type="dxa"/>
            <w:tcBorders/>
            <w:shd w:fill="F4F0DC" w:val="clear"/>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2023</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12,211,634</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27,983,078</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0" w:type="dxa"/>
            <w:tcBorders>
              <w:bottom w:val="single" w:sz="6" w:space="0" w:color="B99C16"/>
            </w:tcBorders>
            <w:tcMar>
              <w:bottom w:w="80" w:type="dxa"/>
            </w:tcMar>
            <w:vAlign w:val="center"/>
          </w:tcPr>
          <w:p>
            <w:pPr>
              <w:pStyle w:val="TableContents"/>
              <w:bidi w:val="0"/>
              <w:spacing w:before="0" w:after="283"/>
              <w:jc w:val="left"/>
              <w:rPr/>
            </w:pPr>
            <w:r>
              <w:rPr/>
              <w:t> </w:t>
            </w:r>
          </w:p>
        </w:tc>
        <w:tc>
          <w:tcPr>
            <w:tcW w:w="1475" w:type="dxa"/>
            <w:tcBorders>
              <w:bottom w:val="single" w:sz="6" w:space="0" w:color="B99C16"/>
            </w:tcBorders>
            <w:tcMar>
              <w:bottom w:w="80" w:type="dxa"/>
            </w:tcMar>
            <w:vAlign w:val="center"/>
          </w:tcPr>
          <w:p>
            <w:pPr>
              <w:pStyle w:val="TableContents"/>
              <w:bidi w:val="0"/>
              <w:spacing w:before="0" w:after="283"/>
              <w:jc w:val="right"/>
              <w:rPr/>
            </w:pPr>
            <w:r>
              <w:rPr/>
              <w:t>3,920,919</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6,776,749</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80" w:type="dxa"/>
            </w:tcMar>
            <w:vAlign w:val="center"/>
          </w:tcPr>
          <w:p>
            <w:pPr>
              <w:pStyle w:val="TableContents"/>
              <w:bidi w:val="0"/>
              <w:spacing w:before="0" w:after="283"/>
              <w:jc w:val="left"/>
              <w:rPr/>
            </w:pPr>
            <w:r>
              <w:rPr/>
              <w:t> </w:t>
            </w:r>
          </w:p>
        </w:tc>
        <w:tc>
          <w:tcPr>
            <w:tcW w:w="879" w:type="dxa"/>
            <w:tcBorders>
              <w:bottom w:val="single" w:sz="6" w:space="0" w:color="B99C16"/>
            </w:tcBorders>
            <w:tcMar>
              <w:bottom w:w="80" w:type="dxa"/>
            </w:tcMar>
            <w:vAlign w:val="center"/>
          </w:tcPr>
          <w:p>
            <w:pPr>
              <w:pStyle w:val="TableContents"/>
              <w:bidi w:val="0"/>
              <w:spacing w:before="0" w:after="283"/>
              <w:jc w:val="right"/>
              <w:rPr/>
            </w:pPr>
            <w:r>
              <w:rPr/>
              <w:t>139.80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80" w:type="dxa"/>
            </w:tcMar>
            <w:vAlign w:val="center"/>
          </w:tcPr>
          <w:p>
            <w:pPr>
              <w:pStyle w:val="TableContents"/>
              <w:bidi w:val="0"/>
              <w:spacing w:before="0" w:after="283"/>
              <w:jc w:val="left"/>
              <w:rPr/>
            </w:pPr>
            <w:r>
              <w:rPr/>
              <w:t> </w:t>
            </w:r>
          </w:p>
        </w:tc>
        <w:tc>
          <w:tcPr>
            <w:tcW w:w="879" w:type="dxa"/>
            <w:tcBorders>
              <w:bottom w:val="single" w:sz="6" w:space="0" w:color="B99C16"/>
            </w:tcBorders>
            <w:tcMar>
              <w:bottom w:w="80" w:type="dxa"/>
            </w:tcMar>
            <w:vAlign w:val="center"/>
          </w:tcPr>
          <w:p>
            <w:pPr>
              <w:pStyle w:val="TableContents"/>
              <w:bidi w:val="0"/>
              <w:spacing w:before="0" w:after="283"/>
              <w:jc w:val="right"/>
              <w:rPr/>
            </w:pPr>
            <w:r>
              <w:rPr/>
              <w:t>96.34</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7" w:type="dxa"/>
            <w:tcBorders>
              <w:bottom w:val="single" w:sz="6" w:space="0" w:color="B99C16"/>
            </w:tcBorders>
            <w:tcMar>
              <w:bottom w:w="80" w:type="dxa"/>
            </w:tcMar>
            <w:vAlign w:val="center"/>
          </w:tcPr>
          <w:p>
            <w:pPr>
              <w:pStyle w:val="TableContents"/>
              <w:bidi w:val="0"/>
              <w:spacing w:before="0" w:after="283"/>
              <w:jc w:val="left"/>
              <w:rPr/>
            </w:pPr>
            <w:r>
              <w:rPr/>
              <w:t> </w:t>
            </w:r>
          </w:p>
        </w:tc>
        <w:tc>
          <w:tcPr>
            <w:tcW w:w="818" w:type="dxa"/>
            <w:tcBorders>
              <w:bottom w:val="single" w:sz="6" w:space="0" w:color="B99C16"/>
            </w:tcBorders>
            <w:tcMar>
              <w:bottom w:w="80" w:type="dxa"/>
            </w:tcMar>
            <w:vAlign w:val="center"/>
          </w:tcPr>
          <w:p>
            <w:pPr>
              <w:pStyle w:val="TableContents"/>
              <w:bidi w:val="0"/>
              <w:spacing w:before="0" w:after="283"/>
              <w:jc w:val="right"/>
              <w:rPr/>
            </w:pPr>
            <w:r>
              <w:rPr/>
              <w:t>417.3</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7" w:type="dxa"/>
            <w:tcBorders>
              <w:bottom w:val="single" w:sz="6" w:space="0" w:color="B99C16"/>
            </w:tcBorders>
            <w:tcMar>
              <w:bottom w:w="80" w:type="dxa"/>
            </w:tcMar>
            <w:vAlign w:val="center"/>
          </w:tcPr>
          <w:p>
            <w:pPr>
              <w:pStyle w:val="TableContents"/>
              <w:bidi w:val="0"/>
              <w:spacing w:before="0" w:after="283"/>
              <w:jc w:val="left"/>
              <w:rPr/>
            </w:pPr>
            <w:r>
              <w:rPr/>
              <w:t> </w:t>
            </w:r>
          </w:p>
        </w:tc>
        <w:tc>
          <w:tcPr>
            <w:tcW w:w="838" w:type="dxa"/>
            <w:tcBorders>
              <w:bottom w:val="single" w:sz="6" w:space="0" w:color="B99C16"/>
            </w:tcBorders>
            <w:tcMar>
              <w:bottom w:w="80" w:type="dxa"/>
            </w:tcMar>
            <w:vAlign w:val="center"/>
          </w:tcPr>
          <w:p>
            <w:pPr>
              <w:pStyle w:val="TableContents"/>
              <w:bidi w:val="0"/>
              <w:spacing w:before="0" w:after="283"/>
              <w:jc w:val="right"/>
              <w:rPr/>
            </w:pPr>
            <w:r>
              <w:rPr/>
              <w:t>1,023.9</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455" w:type="dxa"/>
            <w:tcBorders/>
            <w:shd w:fill="F4F0DC" w:val="clear"/>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2022</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12,093,113</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7,804,678</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0" w:type="dxa"/>
            <w:tcBorders>
              <w:bottom w:val="single" w:sz="6" w:space="0" w:color="B99C16"/>
            </w:tcBorders>
            <w:tcMar>
              <w:bottom w:w="80" w:type="dxa"/>
            </w:tcMar>
            <w:vAlign w:val="center"/>
          </w:tcPr>
          <w:p>
            <w:pPr>
              <w:pStyle w:val="TableContents"/>
              <w:bidi w:val="0"/>
              <w:spacing w:before="0" w:after="283"/>
              <w:jc w:val="left"/>
              <w:rPr/>
            </w:pPr>
            <w:r>
              <w:rPr/>
              <w:t> </w:t>
            </w:r>
          </w:p>
        </w:tc>
        <w:tc>
          <w:tcPr>
            <w:tcW w:w="1475" w:type="dxa"/>
            <w:tcBorders>
              <w:bottom w:val="single" w:sz="6" w:space="0" w:color="B99C16"/>
            </w:tcBorders>
            <w:tcMar>
              <w:bottom w:w="80" w:type="dxa"/>
            </w:tcMar>
            <w:vAlign w:val="center"/>
          </w:tcPr>
          <w:p>
            <w:pPr>
              <w:pStyle w:val="TableContents"/>
              <w:bidi w:val="0"/>
              <w:spacing w:before="0" w:after="283"/>
              <w:jc w:val="right"/>
              <w:rPr/>
            </w:pPr>
            <w:r>
              <w:rPr/>
              <w:t>3,849,991</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2,945,887</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80" w:type="dxa"/>
            </w:tcMar>
            <w:vAlign w:val="center"/>
          </w:tcPr>
          <w:p>
            <w:pPr>
              <w:pStyle w:val="TableContents"/>
              <w:bidi w:val="0"/>
              <w:spacing w:before="0" w:after="283"/>
              <w:jc w:val="left"/>
              <w:rPr/>
            </w:pPr>
            <w:r>
              <w:rPr/>
              <w:t> </w:t>
            </w:r>
          </w:p>
        </w:tc>
        <w:tc>
          <w:tcPr>
            <w:tcW w:w="879" w:type="dxa"/>
            <w:tcBorders>
              <w:bottom w:val="single" w:sz="6" w:space="0" w:color="B99C16"/>
            </w:tcBorders>
            <w:tcMar>
              <w:bottom w:w="80" w:type="dxa"/>
            </w:tcMar>
            <w:vAlign w:val="center"/>
          </w:tcPr>
          <w:p>
            <w:pPr>
              <w:pStyle w:val="TableContents"/>
              <w:bidi w:val="0"/>
              <w:spacing w:before="0" w:after="283"/>
              <w:jc w:val="right"/>
              <w:rPr/>
            </w:pPr>
            <w:r>
              <w:rPr/>
              <w:t>109.18</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80" w:type="dxa"/>
            </w:tcMar>
            <w:vAlign w:val="center"/>
          </w:tcPr>
          <w:p>
            <w:pPr>
              <w:pStyle w:val="TableContents"/>
              <w:bidi w:val="0"/>
              <w:spacing w:before="0" w:after="283"/>
              <w:jc w:val="left"/>
              <w:rPr/>
            </w:pPr>
            <w:r>
              <w:rPr/>
              <w:t> </w:t>
            </w:r>
          </w:p>
        </w:tc>
        <w:tc>
          <w:tcPr>
            <w:tcW w:w="879" w:type="dxa"/>
            <w:tcBorders>
              <w:bottom w:val="single" w:sz="6" w:space="0" w:color="B99C16"/>
            </w:tcBorders>
            <w:tcMar>
              <w:bottom w:w="80" w:type="dxa"/>
            </w:tcMar>
            <w:vAlign w:val="center"/>
          </w:tcPr>
          <w:p>
            <w:pPr>
              <w:pStyle w:val="TableContents"/>
              <w:bidi w:val="0"/>
              <w:spacing w:before="0" w:after="283"/>
              <w:jc w:val="right"/>
              <w:rPr/>
            </w:pPr>
            <w:r>
              <w:rPr/>
              <w:t>69.64</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7" w:type="dxa"/>
            <w:tcBorders>
              <w:bottom w:val="single" w:sz="6" w:space="0" w:color="B99C16"/>
            </w:tcBorders>
            <w:tcMar>
              <w:bottom w:w="80" w:type="dxa"/>
            </w:tcMar>
            <w:vAlign w:val="center"/>
          </w:tcPr>
          <w:p>
            <w:pPr>
              <w:pStyle w:val="TableContents"/>
              <w:bidi w:val="0"/>
              <w:spacing w:before="0" w:after="283"/>
              <w:jc w:val="left"/>
              <w:rPr/>
            </w:pPr>
            <w:r>
              <w:rPr/>
              <w:t> </w:t>
            </w:r>
          </w:p>
        </w:tc>
        <w:tc>
          <w:tcPr>
            <w:tcW w:w="818" w:type="dxa"/>
            <w:tcBorders>
              <w:bottom w:val="single" w:sz="6" w:space="0" w:color="B99C16"/>
            </w:tcBorders>
            <w:tcMar>
              <w:bottom w:w="80" w:type="dxa"/>
            </w:tcMar>
            <w:vAlign w:val="center"/>
          </w:tcPr>
          <w:p>
            <w:pPr>
              <w:pStyle w:val="TableContents"/>
              <w:bidi w:val="0"/>
              <w:spacing w:before="0" w:after="283"/>
              <w:jc w:val="right"/>
              <w:rPr/>
            </w:pPr>
            <w:r>
              <w:rPr/>
              <w:t>439.4</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7" w:type="dxa"/>
            <w:tcBorders>
              <w:bottom w:val="single" w:sz="6" w:space="0" w:color="B99C16"/>
            </w:tcBorders>
            <w:tcMar>
              <w:bottom w:w="80" w:type="dxa"/>
            </w:tcMar>
            <w:vAlign w:val="center"/>
          </w:tcPr>
          <w:p>
            <w:pPr>
              <w:pStyle w:val="TableContents"/>
              <w:bidi w:val="0"/>
              <w:spacing w:before="0" w:after="283"/>
              <w:jc w:val="left"/>
              <w:rPr/>
            </w:pPr>
            <w:r>
              <w:rPr/>
              <w:t> </w:t>
            </w:r>
          </w:p>
        </w:tc>
        <w:tc>
          <w:tcPr>
            <w:tcW w:w="838" w:type="dxa"/>
            <w:tcBorders>
              <w:bottom w:val="single" w:sz="6" w:space="0" w:color="B99C16"/>
            </w:tcBorders>
            <w:tcMar>
              <w:bottom w:w="80" w:type="dxa"/>
            </w:tcMar>
            <w:vAlign w:val="center"/>
          </w:tcPr>
          <w:p>
            <w:pPr>
              <w:pStyle w:val="TableContents"/>
              <w:bidi w:val="0"/>
              <w:spacing w:before="0" w:after="283"/>
              <w:jc w:val="right"/>
              <w:rPr/>
            </w:pPr>
            <w:r>
              <w:rPr/>
              <w:t>763.6</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455" w:type="dxa"/>
            <w:tcBorders/>
            <w:shd w:fill="F4F0DC" w:val="clear"/>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B99C16"/>
            </w:tcBorders>
            <w:shd w:fill="F4F0DC" w:val="clear"/>
            <w:tcMar>
              <w:bottom w:w="80" w:type="dxa"/>
            </w:tcMar>
            <w:vAlign w:val="center"/>
          </w:tcPr>
          <w:p>
            <w:pPr>
              <w:pStyle w:val="TableContents"/>
              <w:bidi w:val="0"/>
              <w:spacing w:before="0" w:after="0"/>
              <w:jc w:val="left"/>
              <w:rPr>
                <w:rFonts w:ascii="arial" w:hAnsi="arial"/>
                <w:sz w:val="20"/>
              </w:rPr>
            </w:pPr>
            <w:r>
              <w:rPr>
                <w:rFonts w:ascii="arial" w:hAnsi="arial"/>
                <w:sz w:val="20"/>
              </w:rPr>
              <w:t>2021</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13,755,283</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43,164,399</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90" w:type="dxa"/>
            <w:tcBorders>
              <w:bottom w:val="single" w:sz="6" w:space="0" w:color="B99C16"/>
            </w:tcBorders>
            <w:tcMar>
              <w:bottom w:w="80" w:type="dxa"/>
            </w:tcMar>
            <w:vAlign w:val="center"/>
          </w:tcPr>
          <w:p>
            <w:pPr>
              <w:pStyle w:val="TableContents"/>
              <w:bidi w:val="0"/>
              <w:spacing w:before="0" w:after="283"/>
              <w:jc w:val="left"/>
              <w:rPr/>
            </w:pPr>
            <w:r>
              <w:rPr/>
              <w:t> </w:t>
            </w:r>
          </w:p>
        </w:tc>
        <w:tc>
          <w:tcPr>
            <w:tcW w:w="1475" w:type="dxa"/>
            <w:tcBorders>
              <w:bottom w:val="single" w:sz="6" w:space="0" w:color="B99C16"/>
            </w:tcBorders>
            <w:tcMar>
              <w:bottom w:w="80" w:type="dxa"/>
            </w:tcMar>
            <w:vAlign w:val="center"/>
          </w:tcPr>
          <w:p>
            <w:pPr>
              <w:pStyle w:val="TableContents"/>
              <w:bidi w:val="0"/>
              <w:spacing w:before="0" w:after="283"/>
              <w:jc w:val="right"/>
              <w:rPr/>
            </w:pPr>
            <w:r>
              <w:rPr/>
              <w:t>4,490,694</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77" w:type="dxa"/>
            <w:tcBorders>
              <w:bottom w:val="single" w:sz="6" w:space="0" w:color="B99C16"/>
            </w:tcBorders>
            <w:tcMar>
              <w:bottom w:w="80" w:type="dxa"/>
            </w:tcMar>
            <w:vAlign w:val="center"/>
          </w:tcPr>
          <w:p>
            <w:pPr>
              <w:pStyle w:val="TableContents"/>
              <w:bidi w:val="0"/>
              <w:spacing w:before="0" w:after="283"/>
              <w:jc w:val="left"/>
              <w:rPr/>
            </w:pPr>
            <w:r>
              <w:rPr/>
              <w:t> </w:t>
            </w:r>
          </w:p>
        </w:tc>
        <w:tc>
          <w:tcPr>
            <w:tcW w:w="1413" w:type="dxa"/>
            <w:tcBorders>
              <w:bottom w:val="single" w:sz="6" w:space="0" w:color="B99C16"/>
            </w:tcBorders>
            <w:tcMar>
              <w:bottom w:w="80" w:type="dxa"/>
            </w:tcMar>
            <w:vAlign w:val="center"/>
          </w:tcPr>
          <w:p>
            <w:pPr>
              <w:pStyle w:val="TableContents"/>
              <w:bidi w:val="0"/>
              <w:spacing w:before="0" w:after="283"/>
              <w:jc w:val="right"/>
              <w:rPr/>
            </w:pPr>
            <w:r>
              <w:rPr/>
              <w:t>10,733,870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80" w:type="dxa"/>
            </w:tcMar>
            <w:vAlign w:val="center"/>
          </w:tcPr>
          <w:p>
            <w:pPr>
              <w:pStyle w:val="TableContents"/>
              <w:bidi w:val="0"/>
              <w:spacing w:before="0" w:after="283"/>
              <w:jc w:val="left"/>
              <w:rPr/>
            </w:pPr>
            <w:r>
              <w:rPr/>
              <w:t> </w:t>
            </w:r>
          </w:p>
        </w:tc>
        <w:tc>
          <w:tcPr>
            <w:tcW w:w="879" w:type="dxa"/>
            <w:tcBorders>
              <w:bottom w:val="single" w:sz="6" w:space="0" w:color="B99C16"/>
            </w:tcBorders>
            <w:tcMar>
              <w:bottom w:w="80" w:type="dxa"/>
            </w:tcMar>
            <w:vAlign w:val="center"/>
          </w:tcPr>
          <w:p>
            <w:pPr>
              <w:pStyle w:val="TableContents"/>
              <w:bidi w:val="0"/>
              <w:spacing w:before="0" w:after="283"/>
              <w:jc w:val="right"/>
              <w:rPr/>
            </w:pPr>
            <w:r>
              <w:rPr/>
              <w:t>124.01</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101" w:type="dxa"/>
            <w:tcBorders>
              <w:bottom w:val="single" w:sz="6" w:space="0" w:color="B99C16"/>
            </w:tcBorders>
            <w:tcMar>
              <w:bottom w:w="80" w:type="dxa"/>
            </w:tcMar>
            <w:vAlign w:val="center"/>
          </w:tcPr>
          <w:p>
            <w:pPr>
              <w:pStyle w:val="TableContents"/>
              <w:bidi w:val="0"/>
              <w:spacing w:before="0" w:after="283"/>
              <w:jc w:val="left"/>
              <w:rPr/>
            </w:pPr>
            <w:r>
              <w:rPr/>
              <w:t> </w:t>
            </w:r>
          </w:p>
        </w:tc>
        <w:tc>
          <w:tcPr>
            <w:tcW w:w="879" w:type="dxa"/>
            <w:tcBorders>
              <w:bottom w:val="single" w:sz="6" w:space="0" w:color="B99C16"/>
            </w:tcBorders>
            <w:tcMar>
              <w:bottom w:w="80" w:type="dxa"/>
            </w:tcMar>
            <w:vAlign w:val="center"/>
          </w:tcPr>
          <w:p>
            <w:pPr>
              <w:pStyle w:val="TableContents"/>
              <w:bidi w:val="0"/>
              <w:spacing w:before="0" w:after="283"/>
              <w:jc w:val="right"/>
              <w:rPr/>
            </w:pPr>
            <w:r>
              <w:rPr/>
              <w:t>97.17</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87" w:type="dxa"/>
            <w:tcBorders>
              <w:bottom w:val="single" w:sz="6" w:space="0" w:color="B99C16"/>
            </w:tcBorders>
            <w:tcMar>
              <w:bottom w:w="80" w:type="dxa"/>
            </w:tcMar>
            <w:vAlign w:val="center"/>
          </w:tcPr>
          <w:p>
            <w:pPr>
              <w:pStyle w:val="TableContents"/>
              <w:bidi w:val="0"/>
              <w:spacing w:before="0" w:after="283"/>
              <w:jc w:val="left"/>
              <w:rPr/>
            </w:pPr>
            <w:r>
              <w:rPr/>
              <w:t> </w:t>
            </w:r>
          </w:p>
        </w:tc>
        <w:tc>
          <w:tcPr>
            <w:tcW w:w="818" w:type="dxa"/>
            <w:tcBorders>
              <w:bottom w:val="single" w:sz="6" w:space="0" w:color="B99C16"/>
            </w:tcBorders>
            <w:tcMar>
              <w:bottom w:w="80" w:type="dxa"/>
            </w:tcMar>
            <w:vAlign w:val="center"/>
          </w:tcPr>
          <w:p>
            <w:pPr>
              <w:pStyle w:val="TableContents"/>
              <w:bidi w:val="0"/>
              <w:spacing w:before="0" w:after="283"/>
              <w:jc w:val="right"/>
              <w:rPr/>
            </w:pPr>
            <w:r>
              <w:rPr/>
              <w:t>249.1</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7" w:type="dxa"/>
            <w:tcBorders>
              <w:bottom w:val="single" w:sz="6" w:space="0" w:color="B99C16"/>
            </w:tcBorders>
            <w:tcMar>
              <w:bottom w:w="80" w:type="dxa"/>
            </w:tcMar>
            <w:vAlign w:val="center"/>
          </w:tcPr>
          <w:p>
            <w:pPr>
              <w:pStyle w:val="TableContents"/>
              <w:bidi w:val="0"/>
              <w:spacing w:before="0" w:after="283"/>
              <w:jc w:val="left"/>
              <w:rPr/>
            </w:pPr>
            <w:r>
              <w:rPr/>
              <w:t> </w:t>
            </w:r>
          </w:p>
        </w:tc>
        <w:tc>
          <w:tcPr>
            <w:tcW w:w="838" w:type="dxa"/>
            <w:tcBorders>
              <w:bottom w:val="single" w:sz="6" w:space="0" w:color="B99C16"/>
            </w:tcBorders>
            <w:tcMar>
              <w:bottom w:w="80" w:type="dxa"/>
            </w:tcMar>
            <w:vAlign w:val="center"/>
          </w:tcPr>
          <w:p>
            <w:pPr>
              <w:pStyle w:val="TableContents"/>
              <w:bidi w:val="0"/>
              <w:spacing w:before="0" w:after="283"/>
              <w:jc w:val="right"/>
              <w:rPr/>
            </w:pPr>
            <w:r>
              <w:rPr/>
              <w:t>627.0</w:t>
            </w:r>
          </w:p>
        </w:tc>
        <w:tc>
          <w:tcPr>
            <w:tcW w:w="75" w:type="dxa"/>
            <w:tcBorders>
              <w:bottom w:val="single" w:sz="6" w:space="0" w:color="B99C16"/>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0"/>
              <w:jc w:val="left"/>
              <w:rPr>
                <w:rFonts w:ascii="arial" w:hAnsi="arial"/>
                <w:sz w:val="20"/>
              </w:rPr>
            </w:pPr>
            <w:r>
              <w:rPr>
                <w:rFonts w:ascii="arial" w:hAnsi="arial"/>
                <w:sz w:val="20"/>
              </w:rPr>
              <w:t xml:space="preserve">Mr. Carstanjen served as the Company’s PEO for the entirety of 2021, 2022, 2023, 2024, and 2025 and the Company’s other NEOs for the applicable years were as follows: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40"/>
        <w:gridCol w:w="72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0"/>
              <w:jc w:val="left"/>
              <w:rPr>
                <w:rFonts w:ascii="arial" w:hAnsi="arial"/>
                <w:sz w:val="20"/>
              </w:rPr>
            </w:pPr>
            <w:r>
              <w:rPr>
                <w:rFonts w:ascii="arial" w:hAnsi="arial"/>
                <w:sz w:val="20"/>
              </w:rPr>
              <w:t xml:space="preserve">2025: William E. Mudd; Marcia A. Dall; Bradley K. Blackwell; and Maureen Adams </w:t>
            </w:r>
          </w:p>
        </w:tc>
      </w:tr>
    </w:tbl>
    <w:tbl>
      <w:tblPr>
        <w:tblW w:w="7465" w:type="dxa"/>
        <w:jc w:val="left"/>
        <w:tblInd w:w="0" w:type="dxa"/>
        <w:tblLayout w:type="fixed"/>
        <w:tblCellMar>
          <w:top w:w="0" w:type="dxa"/>
          <w:left w:w="0" w:type="dxa"/>
          <w:bottom w:w="0" w:type="dxa"/>
          <w:right w:w="0" w:type="dxa"/>
        </w:tblCellMar>
      </w:tblPr>
      <w:tblGrid>
        <w:gridCol w:w="75"/>
        <w:gridCol w:w="140"/>
        <w:gridCol w:w="72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0"/>
              <w:jc w:val="left"/>
              <w:rPr>
                <w:rFonts w:ascii="arial" w:hAnsi="arial"/>
                <w:sz w:val="20"/>
              </w:rPr>
            </w:pPr>
            <w:r>
              <w:rPr>
                <w:rFonts w:ascii="arial" w:hAnsi="arial"/>
                <w:sz w:val="20"/>
              </w:rPr>
              <w:t xml:space="preserve">2024: William E. Mudd; Marcia A. Dall; Bradley K. Blackwell; and Maureen Adams </w:t>
            </w:r>
          </w:p>
        </w:tc>
      </w:tr>
    </w:tbl>
    <w:tbl>
      <w:tblPr>
        <w:tblW w:w="7465" w:type="dxa"/>
        <w:jc w:val="left"/>
        <w:tblInd w:w="0" w:type="dxa"/>
        <w:tblLayout w:type="fixed"/>
        <w:tblCellMar>
          <w:top w:w="0" w:type="dxa"/>
          <w:left w:w="0" w:type="dxa"/>
          <w:bottom w:w="0" w:type="dxa"/>
          <w:right w:w="0" w:type="dxa"/>
        </w:tblCellMar>
      </w:tblPr>
      <w:tblGrid>
        <w:gridCol w:w="75"/>
        <w:gridCol w:w="140"/>
        <w:gridCol w:w="72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0"/>
              <w:jc w:val="left"/>
              <w:rPr>
                <w:rFonts w:ascii="arial" w:hAnsi="arial"/>
                <w:sz w:val="20"/>
              </w:rPr>
            </w:pPr>
            <w:r>
              <w:rPr>
                <w:rFonts w:ascii="arial" w:hAnsi="arial"/>
                <w:sz w:val="20"/>
              </w:rPr>
              <w:t xml:space="preserve">2023: William E. Mudd; Marcia A. Dall; Bradley K. Blackwell; and Maureen Adams </w:t>
            </w:r>
          </w:p>
        </w:tc>
      </w:tr>
    </w:tbl>
    <w:tbl>
      <w:tblPr>
        <w:tblW w:w="7465" w:type="dxa"/>
        <w:jc w:val="left"/>
        <w:tblInd w:w="0" w:type="dxa"/>
        <w:tblLayout w:type="fixed"/>
        <w:tblCellMar>
          <w:top w:w="0" w:type="dxa"/>
          <w:left w:w="0" w:type="dxa"/>
          <w:bottom w:w="0" w:type="dxa"/>
          <w:right w:w="0" w:type="dxa"/>
        </w:tblCellMar>
      </w:tblPr>
      <w:tblGrid>
        <w:gridCol w:w="75"/>
        <w:gridCol w:w="140"/>
        <w:gridCol w:w="72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0"/>
              <w:jc w:val="left"/>
              <w:rPr>
                <w:rFonts w:ascii="arial" w:hAnsi="arial"/>
                <w:sz w:val="20"/>
              </w:rPr>
            </w:pPr>
            <w:r>
              <w:rPr>
                <w:rFonts w:ascii="arial" w:hAnsi="arial"/>
                <w:sz w:val="20"/>
              </w:rPr>
              <w:t xml:space="preserve">2022: William E. Mudd; Marcia A. Dall; Bradley K. Blackwell; and Maureen Adams </w:t>
            </w:r>
          </w:p>
        </w:tc>
      </w:tr>
    </w:tbl>
    <w:tbl>
      <w:tblPr>
        <w:tblW w:w="5200" w:type="dxa"/>
        <w:jc w:val="left"/>
        <w:tblInd w:w="0" w:type="dxa"/>
        <w:tblLayout w:type="fixed"/>
        <w:tblCellMar>
          <w:top w:w="0" w:type="dxa"/>
          <w:left w:w="0" w:type="dxa"/>
          <w:bottom w:w="0" w:type="dxa"/>
          <w:right w:w="0" w:type="dxa"/>
        </w:tblCellMar>
      </w:tblPr>
      <w:tblGrid>
        <w:gridCol w:w="75"/>
        <w:gridCol w:w="140"/>
        <w:gridCol w:w="498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0"/>
              <w:jc w:val="left"/>
              <w:rPr>
                <w:rFonts w:ascii="arial" w:hAnsi="arial"/>
                <w:sz w:val="20"/>
              </w:rPr>
            </w:pPr>
            <w:r>
              <w:rPr>
                <w:rFonts w:ascii="arial" w:hAnsi="arial"/>
                <w:sz w:val="20"/>
              </w:rPr>
              <w:t xml:space="preserve">2021: William E. Mudd; Marcia A. Dall; and Austin Miller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left"/>
              <w:rPr>
                <w:rFonts w:ascii="arial" w:hAnsi="arial"/>
                <w:sz w:val="20"/>
              </w:rPr>
            </w:pPr>
            <w:r>
              <w:rPr>
                <w:rFonts w:ascii="arial" w:hAnsi="arial"/>
                <w:sz w:val="20"/>
              </w:rPr>
              <w:t xml:space="preserve">Amounts reported in this column represent (i) the total compensation reported in the Summary Compensation Table for the applicable year in the case of Mr. Carstanjen and (ii) the average of the total compensation reported in the Summary Compensation Table for the applicable year for the Company’s NEOs other than Mr. Carstanjen.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(3)</w:t>
            </w:r>
          </w:p>
        </w:tc>
        <w:tc>
          <w:tcPr>
            <w:tcW w:w="9971" w:type="dxa"/>
            <w:tcBorders/>
            <w:vAlign w:val="center"/>
          </w:tcPr>
          <w:p>
            <w:pPr>
              <w:pStyle w:val="TableContents"/>
              <w:bidi w:val="0"/>
              <w:spacing w:before="0" w:after="0"/>
              <w:jc w:val="left"/>
              <w:rPr>
                <w:rFonts w:ascii="arial" w:hAnsi="arial"/>
                <w:sz w:val="20"/>
              </w:rPr>
            </w:pPr>
            <w:r>
              <w:rPr>
                <w:rFonts w:ascii="arial" w:hAnsi="arial"/>
                <w:sz w:val="20"/>
              </w:rPr>
              <w:t xml:space="preserve">To calculate “Compensation Actually Paid” under SEC disclosure rules, adjustments were made to the amounts reported in the Summary Compensation Table for the applicable year. Reconciliations of the adjustments for Mr. Carstanjen and for the average of the other NEOs are set forth in the tables below. Based on the required methodology for calculating “Compensation Actually Paid” under SEC disclosure rules, “Compensation Actually Paid” fluctuates most significantly based on changes in the Company’s stock price during the vesting period of the award. Accordingly, the values shown as “Compensation Actually Paid” reflect the increase or decrease in the value of such equity awards based on our stock price performance and, for the years prior to vesting, do not reflect compensation actually realized or earned by the NEO. Accordingly, the “Compensation Actually Paid” reflected below includes values for equity awards that may not be earned due to failure to satisfy the vesting conditions or may be earned at levels that differ from the amounts reported below based on the stock price as of the vesting date. The assumptions used to calculate the fair value for purposes of determining the “Compensation Actually Paid” are consistent with the methodology used for calculating the grant date fair value for financial reporting purposes and, in the case of PSUs, are valued based on the probable achievement of the performance condition as of the applicable measurement date or, upon vesting, based on actual achievement.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pacing w:val="0"/>
                <w:sz w:val="20"/>
              </w:rPr>
            </w:pPr>
            <w:r>
              <w:rPr>
                <w:rFonts w:ascii="arial" w:hAnsi="arial"/>
                <w:b/>
                <w:color w:val="004876"/>
                <w:spacing w:val="0"/>
                <w:sz w:val="20"/>
              </w:rPr>
              <w:t>52</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9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1" descr=""/>
                          <pic:cNvPicPr>
                            <a:picLocks noChangeAspect="1" noChangeArrowheads="1"/>
                          </pic:cNvPicPr>
                        </pic:nvPicPr>
                        <pic:blipFill>
                          <a:blip r:embed="rId92"/>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pacing w:val="0"/>
                <w:sz w:val="18"/>
              </w:rPr>
            </w:pPr>
            <w:r>
              <w:rPr>
                <w:rFonts w:ascii="arial" w:hAnsi="arial"/>
                <w:color w:val="004876"/>
                <w:spacing w:val="0"/>
                <w:sz w:val="18"/>
              </w:rPr>
              <w:t>2026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rFonts w:ascii="arial" w:hAnsi="arial"/>
          <w:b/>
          <w:color w:val="004876"/>
          <w:spacing w:val="0"/>
          <w:sz w:val="20"/>
        </w:rPr>
      </w:pPr>
      <w:r>
        <w:rPr>
          <w:rFonts w:ascii="arial" w:hAnsi="arial"/>
          <w:b/>
          <w:color w:val="004876"/>
          <w:spacing w:val="0"/>
          <w:sz w:val="20"/>
        </w:rPr>
        <w:t xml:space="preserve">Pay Versus Performance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4880" w:type="dxa"/>
        <w:jc w:val="left"/>
        <w:tblInd w:w="0" w:type="dxa"/>
        <w:tblLayout w:type="fixed"/>
        <w:tblCellMar>
          <w:top w:w="0" w:type="dxa"/>
          <w:left w:w="0" w:type="dxa"/>
          <w:bottom w:w="0" w:type="dxa"/>
          <w:right w:w="0" w:type="dxa"/>
        </w:tblCellMar>
      </w:tblPr>
      <w:tblGrid>
        <w:gridCol w:w="1220"/>
        <w:gridCol w:w="60"/>
        <w:gridCol w:w="60"/>
        <w:gridCol w:w="1175"/>
        <w:gridCol w:w="155"/>
        <w:gridCol w:w="60"/>
        <w:gridCol w:w="60"/>
        <w:gridCol w:w="1100"/>
        <w:gridCol w:w="155"/>
        <w:gridCol w:w="60"/>
        <w:gridCol w:w="60"/>
        <w:gridCol w:w="1100"/>
        <w:gridCol w:w="155"/>
        <w:gridCol w:w="60"/>
        <w:gridCol w:w="60"/>
        <w:gridCol w:w="1100"/>
        <w:gridCol w:w="155"/>
        <w:gridCol w:w="60"/>
        <w:gridCol w:w="60"/>
        <w:gridCol w:w="1100"/>
        <w:gridCol w:w="155"/>
        <w:gridCol w:w="60"/>
        <w:gridCol w:w="60"/>
        <w:gridCol w:w="1055"/>
        <w:gridCol w:w="155"/>
        <w:gridCol w:w="60"/>
        <w:gridCol w:w="60"/>
        <w:gridCol w:w="1055"/>
        <w:gridCol w:w="155"/>
        <w:gridCol w:w="60"/>
        <w:gridCol w:w="60"/>
        <w:gridCol w:w="1055"/>
        <w:gridCol w:w="155"/>
        <w:gridCol w:w="60"/>
        <w:gridCol w:w="60"/>
        <w:gridCol w:w="1055"/>
        <w:gridCol w:w="155"/>
        <w:gridCol w:w="60"/>
        <w:gridCol w:w="60"/>
        <w:gridCol w:w="1100"/>
        <w:gridCol w:w="170"/>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6" w:space="0" w:color="FFFFFF"/>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004876" w:val="clear"/>
            <w:tcMar>
              <w:bottom w:w="28" w:type="dxa"/>
            </w:tcMar>
            <w:vAlign w:val="center"/>
          </w:tcPr>
          <w:p>
            <w:pPr>
              <w:pStyle w:val="TableContents"/>
              <w:bidi w:val="0"/>
              <w:spacing w:before="0" w:after="283"/>
              <w:jc w:val="left"/>
              <w:rPr/>
            </w:pPr>
            <w:r>
              <w:rPr/>
              <w:t> </w:t>
            </w:r>
          </w:p>
        </w:tc>
        <w:tc>
          <w:tcPr>
            <w:tcW w:w="6735" w:type="dxa"/>
            <w:gridSpan w:val="18"/>
            <w:tcBorders>
              <w:bottom w:val="single" w:sz="6" w:space="0" w:color="FFFFFF"/>
            </w:tcBorders>
            <w:shd w:fill="004876" w:val="clear"/>
            <w:tcMar>
              <w:bottom w:w="80" w:type="dxa"/>
            </w:tcMar>
            <w:vAlign w:val="center"/>
          </w:tcPr>
          <w:p>
            <w:pPr>
              <w:pStyle w:val="TableContents"/>
              <w:bidi w:val="0"/>
              <w:spacing w:before="0" w:after="0"/>
              <w:jc w:val="center"/>
              <w:rPr>
                <w:rFonts w:ascii="arial" w:hAnsi="arial"/>
                <w:b/>
                <w:color w:val="FFFFFF"/>
                <w:spacing w:val="0"/>
                <w:sz w:val="14"/>
              </w:rPr>
            </w:pPr>
            <w:r>
              <w:rPr>
                <w:rFonts w:ascii="arial" w:hAnsi="arial"/>
                <w:b/>
                <w:color w:val="FFFFFF"/>
                <w:spacing w:val="0"/>
                <w:sz w:val="14"/>
              </w:rPr>
              <w:t>PEO</w:t>
            </w:r>
          </w:p>
          <w:p>
            <w:pPr>
              <w:pStyle w:val="TableContents"/>
              <w:bidi w:val="0"/>
              <w:spacing w:before="0" w:after="20"/>
              <w:jc w:val="center"/>
              <w:rPr>
                <w:rFonts w:ascii="arial" w:hAnsi="arial"/>
                <w:b/>
                <w:color w:val="FFFFFF"/>
                <w:spacing w:val="0"/>
                <w:sz w:val="14"/>
              </w:rPr>
            </w:pPr>
            <w:r>
              <w:rPr>
                <w:rFonts w:ascii="arial" w:hAnsi="arial"/>
                <w:b/>
                <w:color w:val="FFFFFF"/>
                <w:spacing w:val="0"/>
                <w:sz w:val="14"/>
              </w:rPr>
              <w:t>($)</w:t>
            </w:r>
          </w:p>
        </w:tc>
        <w:tc>
          <w:tcPr>
            <w:tcW w:w="155" w:type="dxa"/>
            <w:tcBorders>
              <w:bottom w:val="single" w:sz="6" w:space="0" w:color="FFFFFF"/>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004876" w:val="clear"/>
            <w:tcMar>
              <w:bottom w:w="28" w:type="dxa"/>
            </w:tcMar>
            <w:vAlign w:val="center"/>
          </w:tcPr>
          <w:p>
            <w:pPr>
              <w:pStyle w:val="TableContents"/>
              <w:bidi w:val="0"/>
              <w:spacing w:before="0" w:after="283"/>
              <w:jc w:val="left"/>
              <w:rPr/>
            </w:pPr>
            <w:r>
              <w:rPr/>
              <w:t> </w:t>
            </w:r>
          </w:p>
        </w:tc>
        <w:tc>
          <w:tcPr>
            <w:tcW w:w="6480" w:type="dxa"/>
            <w:gridSpan w:val="18"/>
            <w:tcBorders>
              <w:bottom w:val="single" w:sz="6" w:space="0" w:color="FFFFFF"/>
            </w:tcBorders>
            <w:shd w:fill="004876" w:val="clear"/>
            <w:tcMar>
              <w:bottom w:w="80" w:type="dxa"/>
            </w:tcMar>
            <w:vAlign w:val="center"/>
          </w:tcPr>
          <w:p>
            <w:pPr>
              <w:pStyle w:val="TableContents"/>
              <w:bidi w:val="0"/>
              <w:spacing w:before="0" w:after="0"/>
              <w:jc w:val="center"/>
              <w:rPr>
                <w:rFonts w:ascii="arial" w:hAnsi="arial"/>
                <w:b/>
                <w:color w:val="FFFFFF"/>
                <w:spacing w:val="0"/>
                <w:sz w:val="14"/>
              </w:rPr>
            </w:pPr>
            <w:r>
              <w:rPr>
                <w:rFonts w:ascii="arial" w:hAnsi="arial"/>
                <w:b/>
                <w:color w:val="FFFFFF"/>
                <w:spacing w:val="0"/>
                <w:sz w:val="14"/>
              </w:rPr>
              <w:t>Other NEOs Average</w:t>
            </w:r>
          </w:p>
          <w:p>
            <w:pPr>
              <w:pStyle w:val="TableContents"/>
              <w:bidi w:val="0"/>
              <w:spacing w:before="0" w:after="20"/>
              <w:jc w:val="center"/>
              <w:rPr>
                <w:rFonts w:ascii="arial" w:hAnsi="arial"/>
                <w:b/>
                <w:color w:val="FFFFFF"/>
                <w:spacing w:val="0"/>
                <w:sz w:val="14"/>
              </w:rPr>
            </w:pPr>
            <w:r>
              <w:rPr>
                <w:rFonts w:ascii="arial" w:hAnsi="arial"/>
                <w:b/>
                <w:color w:val="FFFFFF"/>
                <w:spacing w:val="0"/>
                <w:sz w:val="14"/>
              </w:rPr>
              <w:t>($)</w:t>
            </w:r>
          </w:p>
        </w:tc>
        <w:tc>
          <w:tcPr>
            <w:tcW w:w="170" w:type="dxa"/>
            <w:tcBorders>
              <w:bottom w:val="single" w:sz="6" w:space="0" w:color="FFFFFF"/>
            </w:tcBorders>
            <w:shd w:fill="004876" w:val="clear"/>
            <w:tcMar>
              <w:bottom w:w="28" w:type="dxa"/>
            </w:tcMar>
            <w:vAlign w:val="center"/>
          </w:tcPr>
          <w:p>
            <w:pPr>
              <w:pStyle w:val="TableContents"/>
              <w:bidi w:val="0"/>
              <w:spacing w:before="0" w:after="283"/>
              <w:jc w:val="left"/>
              <w:rPr/>
            </w:pPr>
            <w:r>
              <w:rPr/>
              <w:t> </w:t>
            </w:r>
          </w:p>
        </w:tc>
      </w:tr>
      <w:tr>
        <w:trPr/>
        <w:tc>
          <w:tcPr>
            <w:tcW w:w="12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235" w:type="dxa"/>
            <w:gridSpan w:val="2"/>
            <w:tcBorders>
              <w:bottom w:val="single" w:sz="6" w:space="0" w:color="004876"/>
            </w:tcBorders>
            <w:shd w:fill="004876" w:val="clear"/>
            <w:tcMar>
              <w:bottom w:w="80" w:type="dxa"/>
            </w:tcMar>
            <w:vAlign w:val="center"/>
          </w:tcPr>
          <w:p>
            <w:pPr>
              <w:pStyle w:val="TableContents"/>
              <w:bidi w:val="0"/>
              <w:spacing w:before="0" w:after="0"/>
              <w:jc w:val="center"/>
              <w:rPr>
                <w:b/>
                <w:color w:val="FFFFFF"/>
                <w:spacing w:val="0"/>
              </w:rPr>
            </w:pPr>
            <w:r>
              <w:rPr>
                <w:b/>
                <w:color w:val="FFFFFF"/>
                <w:spacing w:val="0"/>
              </w:rPr>
              <w:t>2025</w:t>
            </w:r>
          </w:p>
        </w:tc>
        <w:tc>
          <w:tcPr>
            <w:tcW w:w="15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4876"/>
            </w:tcBorders>
            <w:shd w:fill="004876" w:val="clear"/>
            <w:tcMar>
              <w:bottom w:w="80" w:type="dxa"/>
            </w:tcMar>
            <w:vAlign w:val="center"/>
          </w:tcPr>
          <w:p>
            <w:pPr>
              <w:pStyle w:val="TableContents"/>
              <w:bidi w:val="0"/>
              <w:spacing w:before="0" w:after="0"/>
              <w:jc w:val="center"/>
              <w:rPr>
                <w:b/>
                <w:color w:val="FFFFFF"/>
                <w:spacing w:val="0"/>
              </w:rPr>
            </w:pPr>
            <w:r>
              <w:rPr>
                <w:b/>
                <w:color w:val="FFFFFF"/>
                <w:spacing w:val="0"/>
              </w:rPr>
              <w:t>2024</w:t>
            </w:r>
          </w:p>
        </w:tc>
        <w:tc>
          <w:tcPr>
            <w:tcW w:w="15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4876"/>
            </w:tcBorders>
            <w:shd w:fill="004876" w:val="clear"/>
            <w:tcMar>
              <w:bottom w:w="80" w:type="dxa"/>
            </w:tcMar>
            <w:vAlign w:val="center"/>
          </w:tcPr>
          <w:p>
            <w:pPr>
              <w:pStyle w:val="TableContents"/>
              <w:bidi w:val="0"/>
              <w:spacing w:before="0" w:after="0"/>
              <w:jc w:val="center"/>
              <w:rPr>
                <w:b/>
                <w:color w:val="FFFFFF"/>
                <w:spacing w:val="0"/>
              </w:rPr>
            </w:pPr>
            <w:r>
              <w:rPr>
                <w:b/>
                <w:color w:val="FFFFFF"/>
                <w:spacing w:val="0"/>
              </w:rPr>
              <w:t>2023</w:t>
            </w:r>
          </w:p>
        </w:tc>
        <w:tc>
          <w:tcPr>
            <w:tcW w:w="15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4876"/>
            </w:tcBorders>
            <w:shd w:fill="004876" w:val="clear"/>
            <w:tcMar>
              <w:bottom w:w="80" w:type="dxa"/>
            </w:tcMar>
            <w:vAlign w:val="center"/>
          </w:tcPr>
          <w:p>
            <w:pPr>
              <w:pStyle w:val="TableContents"/>
              <w:bidi w:val="0"/>
              <w:spacing w:before="0" w:after="0"/>
              <w:jc w:val="center"/>
              <w:rPr>
                <w:b/>
                <w:color w:val="FFFFFF"/>
                <w:spacing w:val="0"/>
              </w:rPr>
            </w:pPr>
            <w:r>
              <w:rPr>
                <w:b/>
                <w:color w:val="FFFFFF"/>
                <w:spacing w:val="0"/>
              </w:rPr>
              <w:t>2022</w:t>
            </w:r>
          </w:p>
        </w:tc>
        <w:tc>
          <w:tcPr>
            <w:tcW w:w="15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4876"/>
            </w:tcBorders>
            <w:shd w:fill="004876" w:val="clear"/>
            <w:tcMar>
              <w:bottom w:w="80" w:type="dxa"/>
            </w:tcMar>
            <w:vAlign w:val="center"/>
          </w:tcPr>
          <w:p>
            <w:pPr>
              <w:pStyle w:val="TableContents"/>
              <w:bidi w:val="0"/>
              <w:spacing w:before="0" w:after="0"/>
              <w:jc w:val="center"/>
              <w:rPr>
                <w:b/>
                <w:color w:val="FFFFFF"/>
                <w:spacing w:val="0"/>
              </w:rPr>
            </w:pPr>
            <w:r>
              <w:rPr>
                <w:b/>
                <w:color w:val="FFFFFF"/>
                <w:spacing w:val="0"/>
              </w:rPr>
              <w:t>2021</w:t>
            </w:r>
          </w:p>
        </w:tc>
        <w:tc>
          <w:tcPr>
            <w:tcW w:w="15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4876"/>
            </w:tcBorders>
            <w:shd w:fill="004876" w:val="clear"/>
            <w:tcMar>
              <w:bottom w:w="80" w:type="dxa"/>
            </w:tcMar>
            <w:vAlign w:val="center"/>
          </w:tcPr>
          <w:p>
            <w:pPr>
              <w:pStyle w:val="TableContents"/>
              <w:bidi w:val="0"/>
              <w:spacing w:before="0" w:after="0"/>
              <w:jc w:val="center"/>
              <w:rPr>
                <w:b/>
                <w:color w:val="FFFFFF"/>
                <w:spacing w:val="0"/>
              </w:rPr>
            </w:pPr>
            <w:r>
              <w:rPr>
                <w:b/>
                <w:color w:val="FFFFFF"/>
                <w:spacing w:val="0"/>
              </w:rPr>
              <w:t>2025</w:t>
            </w:r>
          </w:p>
        </w:tc>
        <w:tc>
          <w:tcPr>
            <w:tcW w:w="15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4876"/>
            </w:tcBorders>
            <w:shd w:fill="004876" w:val="clear"/>
            <w:tcMar>
              <w:bottom w:w="80" w:type="dxa"/>
            </w:tcMar>
            <w:vAlign w:val="center"/>
          </w:tcPr>
          <w:p>
            <w:pPr>
              <w:pStyle w:val="TableContents"/>
              <w:bidi w:val="0"/>
              <w:spacing w:before="0" w:after="0"/>
              <w:jc w:val="center"/>
              <w:rPr>
                <w:b/>
                <w:color w:val="FFFFFF"/>
                <w:spacing w:val="0"/>
              </w:rPr>
            </w:pPr>
            <w:r>
              <w:rPr>
                <w:b/>
                <w:color w:val="FFFFFF"/>
                <w:spacing w:val="0"/>
              </w:rPr>
              <w:t>2024</w:t>
            </w:r>
          </w:p>
        </w:tc>
        <w:tc>
          <w:tcPr>
            <w:tcW w:w="15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4876"/>
            </w:tcBorders>
            <w:shd w:fill="004876" w:val="clear"/>
            <w:tcMar>
              <w:bottom w:w="80" w:type="dxa"/>
            </w:tcMar>
            <w:vAlign w:val="center"/>
          </w:tcPr>
          <w:p>
            <w:pPr>
              <w:pStyle w:val="TableContents"/>
              <w:bidi w:val="0"/>
              <w:spacing w:before="0" w:after="0"/>
              <w:jc w:val="center"/>
              <w:rPr>
                <w:b/>
                <w:color w:val="FFFFFF"/>
                <w:spacing w:val="0"/>
              </w:rPr>
            </w:pPr>
            <w:r>
              <w:rPr>
                <w:b/>
                <w:color w:val="FFFFFF"/>
                <w:spacing w:val="0"/>
              </w:rPr>
              <w:t>2023</w:t>
            </w:r>
          </w:p>
        </w:tc>
        <w:tc>
          <w:tcPr>
            <w:tcW w:w="15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4876"/>
            </w:tcBorders>
            <w:shd w:fill="004876" w:val="clear"/>
            <w:tcMar>
              <w:bottom w:w="80" w:type="dxa"/>
            </w:tcMar>
            <w:vAlign w:val="center"/>
          </w:tcPr>
          <w:p>
            <w:pPr>
              <w:pStyle w:val="TableContents"/>
              <w:bidi w:val="0"/>
              <w:spacing w:before="0" w:after="0"/>
              <w:jc w:val="center"/>
              <w:rPr>
                <w:b/>
                <w:color w:val="FFFFFF"/>
                <w:spacing w:val="0"/>
              </w:rPr>
            </w:pPr>
            <w:r>
              <w:rPr>
                <w:b/>
                <w:color w:val="FFFFFF"/>
                <w:spacing w:val="0"/>
              </w:rPr>
              <w:t>2022</w:t>
            </w:r>
          </w:p>
        </w:tc>
        <w:tc>
          <w:tcPr>
            <w:tcW w:w="155"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4876"/>
            </w:tcBorders>
            <w:shd w:fill="004876" w:val="clear"/>
            <w:tcMar>
              <w:bottom w:w="80" w:type="dxa"/>
            </w:tcMar>
            <w:vAlign w:val="center"/>
          </w:tcPr>
          <w:p>
            <w:pPr>
              <w:pStyle w:val="TableContents"/>
              <w:bidi w:val="0"/>
              <w:spacing w:before="0" w:after="0"/>
              <w:jc w:val="center"/>
              <w:rPr>
                <w:b/>
                <w:color w:val="FFFFFF"/>
                <w:spacing w:val="0"/>
              </w:rPr>
            </w:pPr>
            <w:r>
              <w:rPr>
                <w:b/>
                <w:color w:val="FFFFFF"/>
                <w:spacing w:val="0"/>
              </w:rPr>
              <w:t>2021</w:t>
            </w:r>
          </w:p>
        </w:tc>
        <w:tc>
          <w:tcPr>
            <w:tcW w:w="17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r>
      <w:tr>
        <w:trPr/>
        <w:tc>
          <w:tcPr>
            <w:tcW w:w="1220" w:type="dxa"/>
            <w:tcBorders/>
            <w:shd w:fill="F1EBD0" w:val="clear"/>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6" w:space="0" w:color="B99C16"/>
            </w:tcBorders>
            <w:shd w:fill="F1EBD0" w:val="clear"/>
            <w:tcMar>
              <w:bottom w:w="80" w:type="dxa"/>
            </w:tcMar>
            <w:vAlign w:val="center"/>
          </w:tcPr>
          <w:p>
            <w:pPr>
              <w:pStyle w:val="TableContents"/>
              <w:bidi w:val="0"/>
              <w:spacing w:before="0" w:after="0"/>
              <w:jc w:val="left"/>
              <w:rPr>
                <w:rFonts w:ascii="arial" w:hAnsi="arial"/>
                <w:sz w:val="16"/>
              </w:rPr>
            </w:pPr>
            <w:r>
              <w:rPr>
                <w:rFonts w:ascii="arial" w:hAnsi="arial"/>
                <w:sz w:val="16"/>
              </w:rPr>
              <w:t>Summary Compensation Table - Total Compensation</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75" w:type="dxa"/>
            <w:tcBorders>
              <w:bottom w:val="single" w:sz="6" w:space="0" w:color="B99C16"/>
            </w:tcBorders>
            <w:tcMar>
              <w:bottom w:w="80" w:type="dxa"/>
            </w:tcMar>
            <w:vAlign w:val="center"/>
          </w:tcPr>
          <w:p>
            <w:pPr>
              <w:pStyle w:val="TableContents"/>
              <w:bidi w:val="0"/>
              <w:spacing w:before="0" w:after="283"/>
              <w:jc w:val="right"/>
              <w:rPr/>
            </w:pPr>
            <w:r>
              <w:rPr/>
              <w:t>19,172,839</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15,103,663</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12,211,634</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12,093,113</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13,755,283</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4,256,383</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4,147,757</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3,920,919</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3,849,991</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4,490,694</w:t>
            </w:r>
          </w:p>
        </w:tc>
        <w:tc>
          <w:tcPr>
            <w:tcW w:w="170"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1220" w:type="dxa"/>
            <w:tcBorders/>
            <w:shd w:fill="F1EBD0" w:val="clear"/>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6" w:space="0" w:color="B99C16"/>
            </w:tcBorders>
            <w:shd w:fill="F1EBD0" w:val="clear"/>
            <w:tcMar>
              <w:bottom w:w="80" w:type="dxa"/>
            </w:tcMar>
            <w:vAlign w:val="center"/>
          </w:tcPr>
          <w:p>
            <w:pPr>
              <w:pStyle w:val="TableContents"/>
              <w:bidi w:val="0"/>
              <w:spacing w:before="0" w:after="0"/>
              <w:jc w:val="left"/>
              <w:rPr>
                <w:rFonts w:ascii="arial" w:hAnsi="arial"/>
                <w:sz w:val="16"/>
              </w:rPr>
            </w:pPr>
            <w:r>
              <w:rPr>
                <w:rFonts w:ascii="arial" w:hAnsi="arial"/>
                <w:sz w:val="16"/>
              </w:rPr>
              <w:t>- Grant Date Fair Value of Stock Awards Granted in Fiscal Year</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75" w:type="dxa"/>
            <w:tcBorders>
              <w:bottom w:val="single" w:sz="6" w:space="0" w:color="B99C16"/>
            </w:tcBorders>
            <w:tcMar>
              <w:bottom w:w="80" w:type="dxa"/>
            </w:tcMar>
            <w:vAlign w:val="center"/>
          </w:tcPr>
          <w:p>
            <w:pPr>
              <w:pStyle w:val="TableContents"/>
              <w:bidi w:val="0"/>
              <w:spacing w:before="0" w:after="283"/>
              <w:jc w:val="right"/>
              <w:rPr/>
            </w:pPr>
            <w:r>
              <w:rPr/>
              <w:t>(11,443,380</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(6,585,361</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(7,051,043</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(6,538,424</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(6,986,731</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(1,907,400</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(1,791,837</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(1,918,494</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(1,808,263</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(1,976,295</w:t>
            </w:r>
          </w:p>
        </w:tc>
        <w:tc>
          <w:tcPr>
            <w:tcW w:w="170"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1220" w:type="dxa"/>
            <w:tcBorders/>
            <w:shd w:fill="F1EBD0" w:val="clear"/>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6" w:space="0" w:color="B99C16"/>
            </w:tcBorders>
            <w:shd w:fill="F1EBD0" w:val="clear"/>
            <w:tcMar>
              <w:bottom w:w="80" w:type="dxa"/>
            </w:tcMar>
            <w:vAlign w:val="center"/>
          </w:tcPr>
          <w:p>
            <w:pPr>
              <w:pStyle w:val="TableContents"/>
              <w:bidi w:val="0"/>
              <w:spacing w:before="0" w:after="0"/>
              <w:jc w:val="left"/>
              <w:rPr>
                <w:rFonts w:ascii="arial" w:hAnsi="arial"/>
                <w:sz w:val="16"/>
              </w:rPr>
            </w:pPr>
            <w:r>
              <w:rPr>
                <w:rFonts w:ascii="arial" w:hAnsi="arial"/>
                <w:sz w:val="16"/>
              </w:rPr>
              <w:t xml:space="preserve">+ Fair Value at Fiscal </w:t>
            </w:r>
          </w:p>
          <w:p>
            <w:pPr>
              <w:pStyle w:val="TableContents"/>
              <w:bidi w:val="0"/>
              <w:spacing w:before="0" w:after="0"/>
              <w:jc w:val="left"/>
              <w:rPr>
                <w:rFonts w:ascii="arial" w:hAnsi="arial"/>
                <w:spacing w:val="0"/>
                <w:sz w:val="16"/>
              </w:rPr>
            </w:pPr>
            <w:r>
              <w:rPr>
                <w:rFonts w:ascii="arial" w:hAnsi="arial"/>
                <w:spacing w:val="0"/>
                <w:sz w:val="16"/>
              </w:rPr>
              <w:t>Year-End</w:t>
            </w:r>
          </w:p>
          <w:p>
            <w:pPr>
              <w:pStyle w:val="TableContents"/>
              <w:bidi w:val="0"/>
              <w:spacing w:before="0" w:after="0"/>
              <w:jc w:val="left"/>
              <w:rPr>
                <w:rFonts w:ascii="arial" w:hAnsi="arial"/>
                <w:sz w:val="16"/>
              </w:rPr>
            </w:pPr>
            <w:r>
              <w:rPr>
                <w:rFonts w:ascii="arial" w:hAnsi="arial"/>
                <w:sz w:val="16"/>
              </w:rPr>
              <w:t>of Outstanding and Unvested Stock Awards Granted in Fiscal Year</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75" w:type="dxa"/>
            <w:tcBorders>
              <w:bottom w:val="single" w:sz="6" w:space="0" w:color="B99C16"/>
            </w:tcBorders>
            <w:tcMar>
              <w:bottom w:w="80" w:type="dxa"/>
            </w:tcMar>
            <w:vAlign w:val="center"/>
          </w:tcPr>
          <w:p>
            <w:pPr>
              <w:pStyle w:val="TableContents"/>
              <w:bidi w:val="0"/>
              <w:spacing w:before="0" w:after="283"/>
              <w:jc w:val="right"/>
              <w:rPr/>
            </w:pPr>
            <w:r>
              <w:rPr/>
              <w:t>9,248,599</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6,280,355</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6,494,124</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5,487,230</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6,418,135</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1,541,557</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1,708,820</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1,766,952</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1,352,052</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1,598,600</w:t>
            </w:r>
          </w:p>
        </w:tc>
        <w:tc>
          <w:tcPr>
            <w:tcW w:w="170"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1220" w:type="dxa"/>
            <w:tcBorders/>
            <w:shd w:fill="F1EBD0" w:val="clear"/>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6" w:space="0" w:color="B99C16"/>
            </w:tcBorders>
            <w:shd w:fill="F1EBD0" w:val="clear"/>
            <w:tcMar>
              <w:bottom w:w="80" w:type="dxa"/>
            </w:tcMar>
            <w:vAlign w:val="center"/>
          </w:tcPr>
          <w:p>
            <w:pPr>
              <w:pStyle w:val="TableContents"/>
              <w:bidi w:val="0"/>
              <w:spacing w:before="0" w:after="0"/>
              <w:jc w:val="left"/>
              <w:rPr>
                <w:rFonts w:ascii="arial" w:hAnsi="arial"/>
                <w:sz w:val="16"/>
              </w:rPr>
            </w:pPr>
            <w:r>
              <w:rPr>
                <w:rFonts w:ascii="arial" w:hAnsi="arial"/>
                <w:sz w:val="16"/>
              </w:rPr>
              <w:t>+/- Change in Fair Value of Outstanding and Unvested Stock Awards Granted in Prior Fiscal Years</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75" w:type="dxa"/>
            <w:tcBorders>
              <w:bottom w:val="single" w:sz="6" w:space="0" w:color="B99C16"/>
            </w:tcBorders>
            <w:tcMar>
              <w:bottom w:w="80" w:type="dxa"/>
            </w:tcMar>
            <w:vAlign w:val="center"/>
          </w:tcPr>
          <w:p>
            <w:pPr>
              <w:pStyle w:val="TableContents"/>
              <w:bidi w:val="0"/>
              <w:spacing w:before="0" w:after="283"/>
              <w:jc w:val="right"/>
              <w:rPr/>
            </w:pPr>
            <w:r>
              <w:rPr/>
              <w:t>(995,971</w:t>
            </w:r>
          </w:p>
        </w:tc>
        <w:tc>
          <w:tcPr>
            <w:tcW w:w="155" w:type="dxa"/>
            <w:tcBorders>
              <w:bottom w:val="single" w:sz="6" w:space="0" w:color="B99C16"/>
            </w:tcBorders>
            <w:tcMar>
              <w:bottom w:w="80" w:type="dxa"/>
            </w:tcMar>
            <w:vAlign w:val="center"/>
          </w:tcPr>
          <w:p>
            <w:pPr>
              <w:pStyle w:val="TableContents"/>
              <w:bidi w:val="0"/>
              <w:spacing w:before="0" w:after="283"/>
              <w:jc w:val="left"/>
              <w:rPr/>
            </w:pPr>
            <w:r>
              <w:rPr/>
              <w:t>)</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(457,671</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9,671,750</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(5,857,318</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20,661,694</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(264,766</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(108,023</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1,711,587</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(925,963</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4,333,577</w:t>
            </w:r>
          </w:p>
        </w:tc>
        <w:tc>
          <w:tcPr>
            <w:tcW w:w="170"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1220" w:type="dxa"/>
            <w:tcBorders/>
            <w:shd w:fill="F1EBD0" w:val="clear"/>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6" w:space="0" w:color="B99C16"/>
            </w:tcBorders>
            <w:shd w:fill="F1EBD0" w:val="clear"/>
            <w:tcMar>
              <w:bottom w:w="80" w:type="dxa"/>
            </w:tcMar>
            <w:vAlign w:val="center"/>
          </w:tcPr>
          <w:p>
            <w:pPr>
              <w:pStyle w:val="TableContents"/>
              <w:bidi w:val="0"/>
              <w:spacing w:before="0" w:after="0"/>
              <w:jc w:val="left"/>
              <w:rPr>
                <w:rFonts w:ascii="arial" w:hAnsi="arial"/>
                <w:sz w:val="16"/>
              </w:rPr>
            </w:pPr>
            <w:r>
              <w:rPr>
                <w:rFonts w:ascii="arial" w:hAnsi="arial"/>
                <w:sz w:val="16"/>
              </w:rPr>
              <w:t>+ Fair Value at Vesting of Stock Awards Granted in Fiscal Year That Vested During Fiscal Year</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75" w:type="dxa"/>
            <w:tcBorders>
              <w:bottom w:val="single" w:sz="6" w:space="0" w:color="B99C16"/>
            </w:tcBorders>
            <w:tcMar>
              <w:bottom w:w="80" w:type="dxa"/>
            </w:tcMar>
            <w:vAlign w:val="center"/>
          </w:tcPr>
          <w:p>
            <w:pPr>
              <w:pStyle w:val="TableContents"/>
              <w:bidi w:val="0"/>
              <w:spacing w:before="0" w:after="283"/>
              <w:jc w:val="right"/>
              <w:rPr/>
            </w:pPr>
            <w:r>
              <w:rPr/>
              <w:t>1,853,187</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1,234,340</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1,227,821</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1,039,698</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1,257,372</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308,903</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335,877</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334,085</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204,821</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355,672</w:t>
            </w:r>
          </w:p>
        </w:tc>
        <w:tc>
          <w:tcPr>
            <w:tcW w:w="170"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1220" w:type="dxa"/>
            <w:tcBorders/>
            <w:shd w:fill="F1EBD0" w:val="clear"/>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6" w:space="0" w:color="B99C16"/>
            </w:tcBorders>
            <w:shd w:fill="F1EBD0" w:val="clear"/>
            <w:tcMar>
              <w:bottom w:w="80" w:type="dxa"/>
            </w:tcMar>
            <w:vAlign w:val="center"/>
          </w:tcPr>
          <w:p>
            <w:pPr>
              <w:pStyle w:val="TableContents"/>
              <w:bidi w:val="0"/>
              <w:spacing w:before="0" w:after="0"/>
              <w:jc w:val="left"/>
              <w:rPr>
                <w:rFonts w:ascii="arial" w:hAnsi="arial"/>
                <w:sz w:val="16"/>
              </w:rPr>
            </w:pPr>
            <w:r>
              <w:rPr>
                <w:rFonts w:ascii="arial" w:hAnsi="arial"/>
                <w:sz w:val="16"/>
              </w:rPr>
              <w:t>+/- Change in Fair Value as of Vesting Date of Stock Awards Granted in Prior Fiscal Years For Which Applicable Vesting Conditions Were Satisfied During Fiscal Year</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75" w:type="dxa"/>
            <w:tcBorders>
              <w:bottom w:val="single" w:sz="6" w:space="0" w:color="B99C16"/>
            </w:tcBorders>
            <w:tcMar>
              <w:bottom w:w="80" w:type="dxa"/>
            </w:tcMar>
            <w:vAlign w:val="center"/>
          </w:tcPr>
          <w:p>
            <w:pPr>
              <w:pStyle w:val="TableContents"/>
              <w:bidi w:val="0"/>
              <w:spacing w:before="0" w:after="283"/>
              <w:jc w:val="right"/>
              <w:rPr/>
            </w:pPr>
            <w:r>
              <w:rPr/>
              <w:t>(4,788,179</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4,843,821</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5,428,792</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1,580,379</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8,058,646</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(728,217</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1,160,023</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961,700</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273,249</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1,931,623</w:t>
            </w:r>
          </w:p>
        </w:tc>
        <w:tc>
          <w:tcPr>
            <w:tcW w:w="170"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1220" w:type="dxa"/>
            <w:tcBorders/>
            <w:shd w:fill="F1EBD0" w:val="clear"/>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6" w:space="0" w:color="B99C16"/>
            </w:tcBorders>
            <w:shd w:fill="F1EBD0" w:val="clear"/>
            <w:tcMar>
              <w:bottom w:w="80" w:type="dxa"/>
            </w:tcMar>
            <w:vAlign w:val="center"/>
          </w:tcPr>
          <w:p>
            <w:pPr>
              <w:pStyle w:val="TableContents"/>
              <w:bidi w:val="0"/>
              <w:spacing w:before="0" w:after="0"/>
              <w:jc w:val="left"/>
              <w:rPr>
                <w:rFonts w:ascii="arial" w:hAnsi="arial"/>
                <w:sz w:val="16"/>
              </w:rPr>
            </w:pPr>
            <w:r>
              <w:rPr>
                <w:rFonts w:ascii="arial" w:hAnsi="arial"/>
                <w:sz w:val="16"/>
              </w:rPr>
              <w:t xml:space="preserve">- Fair Value as of Prior Fiscal </w:t>
            </w:r>
          </w:p>
          <w:p>
            <w:pPr>
              <w:pStyle w:val="TableContents"/>
              <w:bidi w:val="0"/>
              <w:spacing w:before="0" w:after="0"/>
              <w:jc w:val="left"/>
              <w:rPr>
                <w:rFonts w:ascii="arial" w:hAnsi="arial"/>
                <w:spacing w:val="0"/>
                <w:sz w:val="16"/>
              </w:rPr>
            </w:pPr>
            <w:r>
              <w:rPr>
                <w:rFonts w:ascii="arial" w:hAnsi="arial"/>
                <w:spacing w:val="0"/>
                <w:sz w:val="16"/>
              </w:rPr>
              <w:t>Year-End</w:t>
            </w:r>
          </w:p>
          <w:p>
            <w:pPr>
              <w:pStyle w:val="TableContents"/>
              <w:bidi w:val="0"/>
              <w:spacing w:before="0" w:after="0"/>
              <w:jc w:val="left"/>
              <w:rPr>
                <w:rFonts w:ascii="arial" w:hAnsi="arial"/>
                <w:sz w:val="16"/>
              </w:rPr>
            </w:pPr>
            <w:r>
              <w:rPr>
                <w:rFonts w:ascii="arial" w:hAnsi="arial"/>
                <w:sz w:val="16"/>
              </w:rPr>
              <w:t>of Stock Awards Granted in Prior Fiscal Years That Failed to Meet Applicable Vesting Conditions During Fiscal Year</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75" w:type="dxa"/>
            <w:tcBorders>
              <w:bottom w:val="single" w:sz="6" w:space="0" w:color="B99C16"/>
            </w:tcBorders>
            <w:tcMar>
              <w:bottom w:w="80" w:type="dxa"/>
            </w:tcMar>
            <w:vAlign w:val="center"/>
          </w:tcPr>
          <w:p>
            <w:pPr>
              <w:pStyle w:val="TableContents"/>
              <w:bidi w:val="0"/>
              <w:spacing w:before="0" w:after="283"/>
              <w:jc w:val="right"/>
              <w:rPr/>
            </w:pPr>
            <w:r>
              <w:rPr/>
              <w:t>—</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w:t>
            </w:r>
          </w:p>
        </w:tc>
        <w:tc>
          <w:tcPr>
            <w:tcW w:w="170"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1220" w:type="dxa"/>
            <w:tcBorders/>
            <w:shd w:fill="F1EBD0" w:val="clear"/>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6" w:space="0" w:color="B99C16"/>
            </w:tcBorders>
            <w:shd w:fill="F1EBD0" w:val="clear"/>
            <w:tcMar>
              <w:bottom w:w="80" w:type="dxa"/>
            </w:tcMar>
            <w:vAlign w:val="center"/>
          </w:tcPr>
          <w:p>
            <w:pPr>
              <w:pStyle w:val="TableContents"/>
              <w:bidi w:val="0"/>
              <w:spacing w:before="0" w:after="0"/>
              <w:jc w:val="left"/>
              <w:rPr>
                <w:rFonts w:ascii="arial" w:hAnsi="arial"/>
                <w:sz w:val="16"/>
              </w:rPr>
            </w:pPr>
            <w:r>
              <w:rPr>
                <w:rFonts w:ascii="arial" w:hAnsi="arial"/>
                <w:sz w:val="16"/>
              </w:rPr>
              <w:t>= Compensation Actually Paid</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75" w:type="dxa"/>
            <w:tcBorders>
              <w:bottom w:val="single" w:sz="6" w:space="0" w:color="B99C16"/>
            </w:tcBorders>
            <w:tcMar>
              <w:bottom w:w="80" w:type="dxa"/>
            </w:tcMar>
            <w:vAlign w:val="center"/>
          </w:tcPr>
          <w:p>
            <w:pPr>
              <w:pStyle w:val="TableContents"/>
              <w:bidi w:val="0"/>
              <w:spacing w:before="0" w:after="283"/>
              <w:jc w:val="right"/>
              <w:rPr/>
            </w:pPr>
            <w:r>
              <w:rPr/>
              <w:t>13,047,095</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20,419,147</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27,983,078</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7,804,678</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43,164,399</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3,206,460</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5,452,616</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6,776,749</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055" w:type="dxa"/>
            <w:tcBorders>
              <w:bottom w:val="single" w:sz="6" w:space="0" w:color="B99C16"/>
            </w:tcBorders>
            <w:tcMar>
              <w:bottom w:w="80" w:type="dxa"/>
            </w:tcMar>
            <w:vAlign w:val="center"/>
          </w:tcPr>
          <w:p>
            <w:pPr>
              <w:pStyle w:val="TableContents"/>
              <w:bidi w:val="0"/>
              <w:spacing w:before="0" w:after="283"/>
              <w:jc w:val="right"/>
              <w:rPr/>
            </w:pPr>
            <w:r>
              <w:rPr/>
              <w:t>2,945,887</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100" w:type="dxa"/>
            <w:tcBorders>
              <w:bottom w:val="single" w:sz="6" w:space="0" w:color="B99C16"/>
            </w:tcBorders>
            <w:tcMar>
              <w:bottom w:w="80" w:type="dxa"/>
            </w:tcMar>
            <w:vAlign w:val="center"/>
          </w:tcPr>
          <w:p>
            <w:pPr>
              <w:pStyle w:val="TableContents"/>
              <w:bidi w:val="0"/>
              <w:spacing w:before="0" w:after="283"/>
              <w:jc w:val="right"/>
              <w:rPr/>
            </w:pPr>
            <w:r>
              <w:rPr/>
              <w:t>10,733,870</w:t>
            </w:r>
          </w:p>
        </w:tc>
        <w:tc>
          <w:tcPr>
            <w:tcW w:w="170" w:type="dxa"/>
            <w:tcBorders>
              <w:bottom w:val="single" w:sz="6" w:space="0" w:color="B99C16"/>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0"/>
              <w:jc w:val="left"/>
              <w:rPr>
                <w:rFonts w:ascii="arial" w:hAnsi="arial"/>
                <w:sz w:val="20"/>
              </w:rPr>
            </w:pPr>
            <w:r>
              <w:rPr>
                <w:rFonts w:ascii="arial" w:hAnsi="arial"/>
                <w:sz w:val="20"/>
              </w:rPr>
              <w:t xml:space="preserve">Pursuant to SEC rules, the comparison assumes $100 was invested on December 31, 2020. Historic stock price performance is not necessarily indicative of future stock price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(5)</w:t>
            </w:r>
          </w:p>
        </w:tc>
        <w:tc>
          <w:tcPr>
            <w:tcW w:w="9939" w:type="dxa"/>
            <w:tcBorders/>
            <w:vAlign w:val="center"/>
          </w:tcPr>
          <w:p>
            <w:pPr>
              <w:pStyle w:val="TableContents"/>
              <w:bidi w:val="0"/>
              <w:spacing w:before="0" w:after="0"/>
              <w:jc w:val="left"/>
              <w:rPr>
                <w:rFonts w:ascii="arial" w:hAnsi="arial"/>
                <w:sz w:val="20"/>
              </w:rPr>
            </w:pPr>
            <w:r>
              <w:rPr>
                <w:rFonts w:ascii="arial" w:hAnsi="arial"/>
                <w:sz w:val="20"/>
              </w:rPr>
              <w:t xml:space="preserve">The TSR Peer Group consists of the following peer group, which represents the same peer group used for our competitive compensation analysis, as described in “Factors Used to Evaluate Pay Decisions” in the CD&amp;A.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arial" w:hAnsi="arial"/>
                <w:sz w:val="20"/>
              </w:rPr>
            </w:pPr>
            <w:r>
              <w:rPr>
                <w:rFonts w:ascii="arial" w:hAnsi="arial"/>
                <w:sz w:val="20"/>
              </w:rPr>
              <w:t xml:space="preserve">For 2024 and 2025, the peer group included Aristocrat Leisure Limited (ALL); Boyd Gaming Corporation (BYD); Caesars Entertainment, Inc. (CZR); DraftKings Inc. (DKNG); Flutter Entertainment PLC (FLTR); Gaming and Leisure Properties Inc. (GLPI); MGM Resorts International (MGM); PENN Entertainment, Inc. (PENN); Red Rock Resorts Inc. (RRR); Light &amp; Wonder, Inc. (LNW); and Wynn Resorts, Limited (WYNN). </w:t>
            </w:r>
          </w:p>
        </w:tc>
      </w:tr>
    </w:tbl>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arial" w:hAnsi="arial"/>
                <w:sz w:val="20"/>
              </w:rPr>
            </w:pPr>
            <w:r>
              <w:rPr>
                <w:rFonts w:ascii="arial" w:hAnsi="arial"/>
                <w:sz w:val="20"/>
              </w:rPr>
              <w:t xml:space="preserve">For 2021, 2022, and 2023, the peer group included Aristocrat Leisure Limited (ALL); Boyd Gaming Corporation (BYD); Caesars Entertainment, Inc. (CZR); DraftKings Inc. (DKNG); Flutter Entertainment PLC (FLTR); Gaming and Leisure Properties Inc. (GLPI); Madison Square Garden Entertainment Corp (MSGE) (for 2023, subsequent to its selection as part of the peer group, this entity </w:t>
            </w:r>
          </w:p>
          <w:p>
            <w:pPr>
              <w:pStyle w:val="TableContents"/>
              <w:bidi w:val="0"/>
              <w:spacing w:before="0" w:after="0"/>
              <w:jc w:val="left"/>
              <w:rPr>
                <w:rFonts w:ascii="arial" w:hAnsi="arial"/>
                <w:spacing w:val="0"/>
                <w:sz w:val="20"/>
              </w:rPr>
            </w:pPr>
            <w:r>
              <w:rPr>
                <w:rFonts w:ascii="arial" w:hAnsi="arial"/>
                <w:spacing w:val="0"/>
                <w:sz w:val="20"/>
              </w:rPr>
              <w:t>spun-off</w:t>
            </w:r>
          </w:p>
          <w:p>
            <w:pPr>
              <w:pStyle w:val="TableContents"/>
              <w:bidi w:val="0"/>
              <w:spacing w:before="0" w:after="0"/>
              <w:jc w:val="left"/>
              <w:rPr>
                <w:rFonts w:ascii="arial" w:hAnsi="arial"/>
                <w:sz w:val="20"/>
              </w:rPr>
            </w:pPr>
            <w:r>
              <w:rPr>
                <w:rFonts w:ascii="arial" w:hAnsi="arial"/>
                <w:sz w:val="20"/>
              </w:rPr>
              <w:t xml:space="preserve">Sphere Entertainment Co (SPHR) into a stand-alone public company, with Sphere becoming the relevant peer company); MGM Resorts International (MGM); PENN Entertainment, Inc. (PENN); Red Rock Resorts Inc. (RRR); Light &amp; Wonder, Inc. (LNW); and Wynn Resorts, Limited (WYNN).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(6)</w:t>
            </w:r>
          </w:p>
        </w:tc>
        <w:tc>
          <w:tcPr>
            <w:tcW w:w="9962" w:type="dxa"/>
            <w:tcBorders/>
            <w:vAlign w:val="center"/>
          </w:tcPr>
          <w:p>
            <w:pPr>
              <w:pStyle w:val="TableContents"/>
              <w:bidi w:val="0"/>
              <w:spacing w:before="0" w:after="0"/>
              <w:jc w:val="left"/>
              <w:rPr>
                <w:rFonts w:ascii="arial" w:hAnsi="arial"/>
                <w:sz w:val="20"/>
              </w:rPr>
            </w:pPr>
            <w:r>
              <w:rPr>
                <w:rFonts w:ascii="arial" w:hAnsi="arial"/>
                <w:sz w:val="20"/>
              </w:rPr>
              <w:t xml:space="preserve">As noted in the CD&amp;A, Adjusted EBITDA is viewed as a core driver of the Company’s performance and shareholder value creation and, accordingly, the Compensation Committee utilized Adjusted EBITDA as elements in both the Company’s Executive Annual Incentive Plan and Executive Long-Term Incentive Plan. Adjusted EBITDA represents earnings before interest, taxes, depreciation and amortization, as further adjusted as described in Item 7. Management’s Discussion and Analysis of Financial Condition and Results of Operations in the Form </w:t>
            </w:r>
          </w:p>
          <w:p>
            <w:pPr>
              <w:pStyle w:val="TableContents"/>
              <w:bidi w:val="0"/>
              <w:spacing w:before="0" w:after="0"/>
              <w:jc w:val="left"/>
              <w:rPr>
                <w:rFonts w:ascii="arial" w:hAnsi="arial"/>
                <w:spacing w:val="0"/>
                <w:sz w:val="20"/>
              </w:rPr>
            </w:pPr>
            <w:r>
              <w:rPr>
                <w:rFonts w:ascii="arial" w:hAnsi="arial"/>
                <w:spacing w:val="0"/>
                <w:sz w:val="20"/>
              </w:rPr>
              <w:t>10-K</w:t>
            </w:r>
          </w:p>
          <w:p>
            <w:pPr>
              <w:pStyle w:val="TableContents"/>
              <w:bidi w:val="0"/>
              <w:spacing w:before="0" w:after="0"/>
              <w:jc w:val="left"/>
              <w:rPr>
                <w:rFonts w:ascii="arial" w:hAnsi="arial"/>
                <w:sz w:val="20"/>
              </w:rPr>
            </w:pPr>
            <w:r>
              <w:rPr>
                <w:rFonts w:ascii="arial" w:hAnsi="arial"/>
                <w:sz w:val="20"/>
              </w:rPr>
              <w:t xml:space="preserve">for the year ended December 31, 2025.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pacing w:val="0"/>
                <w:sz w:val="18"/>
              </w:rPr>
            </w:pPr>
            <w:r>
              <w:rPr>
                <w:rFonts w:ascii="arial" w:hAnsi="arial"/>
                <w:color w:val="004876"/>
                <w:spacing w:val="0"/>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9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2" descr=""/>
                          <pic:cNvPicPr>
                            <a:picLocks noChangeAspect="1" noChangeArrowheads="1"/>
                          </pic:cNvPicPr>
                        </pic:nvPicPr>
                        <pic:blipFill>
                          <a:blip r:embed="rId93"/>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pacing w:val="0"/>
                <w:sz w:val="20"/>
              </w:rPr>
            </w:pPr>
            <w:r>
              <w:rPr>
                <w:rFonts w:ascii="arial" w:hAnsi="arial"/>
                <w:b/>
                <w:color w:val="004876"/>
                <w:spacing w:val="0"/>
                <w:sz w:val="20"/>
              </w:rPr>
              <w:t>53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color w:val="004876"/>
          <w:spacing w:val="0"/>
          <w:sz w:val="20"/>
        </w:rPr>
      </w:pPr>
      <w:r>
        <w:rPr>
          <w:rFonts w:ascii="arial" w:hAnsi="arial"/>
          <w:b/>
          <w:color w:val="004876"/>
          <w:spacing w:val="0"/>
          <w:sz w:val="20"/>
        </w:rPr>
        <w:t xml:space="preserve">Pay Versus Performance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i/>
          <w:caps w:val="false"/>
          <w:smallCaps w:val="false"/>
          <w:spacing w:val="0"/>
          <w:sz w:val="20"/>
        </w:rPr>
      </w:pPr>
      <w:r>
        <w:rPr>
          <w:rFonts w:ascii="arial" w:hAnsi="arial"/>
          <w:b/>
          <w:i/>
          <w:caps w:val="false"/>
          <w:smallCaps w:val="false"/>
          <w:spacing w:val="0"/>
          <w:sz w:val="20"/>
        </w:rPr>
        <w:t xml:space="preserve">Relationship Between Pay and Performance </w:t>
      </w:r>
    </w:p>
    <w:p>
      <w:pPr>
        <w:pStyle w:val="TextBody"/>
        <w:bidi w:val="0"/>
        <w:spacing w:before="120" w:after="0"/>
        <w:jc w:val="left"/>
        <w:rPr>
          <w:rFonts w:ascii="arial" w:hAnsi="arial"/>
          <w:sz w:val="20"/>
        </w:rPr>
      </w:pPr>
      <w:r>
        <w:rPr>
          <w:rFonts w:ascii="arial" w:hAnsi="arial"/>
          <w:sz w:val="20"/>
        </w:rPr>
        <w:t xml:space="preserve">We believe the “Compensation Actually Paid” in each of the years reported above and over the multi-year cumulative period are reflective of the Compensation Committee’s emphasis on </w:t>
      </w:r>
    </w:p>
    <w:p>
      <w:pPr>
        <w:pStyle w:val="TextBody"/>
        <w:bidi w:val="0"/>
        <w:spacing w:before="120" w:after="0"/>
        <w:jc w:val="left"/>
        <w:rPr>
          <w:spacing w:val="0"/>
        </w:rPr>
      </w:pPr>
      <w:r>
        <w:rPr>
          <w:spacing w:val="0"/>
        </w:rPr>
        <w:t>“</w:t>
      </w:r>
      <w:r>
        <w:rPr>
          <w:rFonts w:ascii="arial" w:hAnsi="arial"/>
          <w:spacing w:val="0"/>
          <w:sz w:val="20"/>
        </w:rPr>
        <w:t>pay-for-performance”</w:t>
      </w:r>
    </w:p>
    <w:p>
      <w:pPr>
        <w:pStyle w:val="TextBody"/>
        <w:bidi w:val="0"/>
        <w:spacing w:before="120" w:after="0"/>
        <w:jc w:val="left"/>
        <w:rPr>
          <w:rFonts w:ascii="arial" w:hAnsi="arial"/>
          <w:sz w:val="20"/>
        </w:rPr>
      </w:pPr>
      <w:r>
        <w:rPr>
          <w:rFonts w:ascii="arial" w:hAnsi="arial"/>
          <w:sz w:val="20"/>
        </w:rPr>
        <w:t xml:space="preserve">as the “Compensation Actually Paid” fluctuated year-over-year, primarily due to the result of our stock performance and our varying levels of achievement against </w:t>
      </w:r>
    </w:p>
    <w:p>
      <w:pPr>
        <w:pStyle w:val="TextBody"/>
        <w:bidi w:val="0"/>
        <w:spacing w:before="120" w:after="0"/>
        <w:jc w:val="left"/>
        <w:rPr>
          <w:rFonts w:ascii="arial" w:hAnsi="arial"/>
          <w:spacing w:val="0"/>
          <w:sz w:val="20"/>
        </w:rPr>
      </w:pPr>
      <w:r>
        <w:rPr>
          <w:rFonts w:ascii="arial" w:hAnsi="arial"/>
          <w:spacing w:val="0"/>
          <w:sz w:val="20"/>
        </w:rPr>
        <w:t>pre-established</w:t>
      </w:r>
    </w:p>
    <w:p>
      <w:pPr>
        <w:pStyle w:val="TextBody"/>
        <w:bidi w:val="0"/>
        <w:spacing w:before="120" w:after="0"/>
        <w:jc w:val="left"/>
        <w:rPr>
          <w:rFonts w:ascii="arial" w:hAnsi="arial"/>
          <w:sz w:val="20"/>
        </w:rPr>
      </w:pPr>
      <w:r>
        <w:rPr>
          <w:rFonts w:ascii="arial" w:hAnsi="arial"/>
          <w:sz w:val="20"/>
        </w:rPr>
        <w:t xml:space="preserve">performance goals under our annual incentive program and PSU awards, including our Adjusted EBITDA performance. </w:t>
      </w:r>
    </w:p>
    <w:p>
      <w:pPr>
        <w:pStyle w:val="TextBody"/>
        <w:bidi w:val="0"/>
        <w:spacing w:before="240" w:after="0"/>
        <w:jc w:val="left"/>
        <w:rPr>
          <w:rFonts w:ascii="arial" w:hAnsi="arial"/>
          <w:sz w:val="20"/>
        </w:rPr>
      </w:pPr>
      <w:r>
        <w:rPr>
          <w:rFonts w:ascii="arial" w:hAnsi="arial"/>
          <w:sz w:val="20"/>
        </w:rPr>
        <w:t xml:space="preserve">Because of the focus of our executive compensation program towards long-term incentives through grants of PSUs and RSUs, the “Compensation Actually Paid” is most significantly impacted by changes in our stock price over the vesting period of the awards. In addition, this Pay Versus Performance disclosure is significantly impacted by the </w:t>
      </w:r>
    </w:p>
    <w:p>
      <w:pPr>
        <w:pStyle w:val="TextBody"/>
        <w:bidi w:val="0"/>
        <w:spacing w:before="240" w:after="0"/>
        <w:jc w:val="left"/>
        <w:rPr>
          <w:rFonts w:ascii="arial" w:hAnsi="arial"/>
          <w:spacing w:val="0"/>
          <w:sz w:val="20"/>
        </w:rPr>
      </w:pPr>
      <w:r>
        <w:rPr>
          <w:rFonts w:ascii="arial" w:hAnsi="arial"/>
          <w:spacing w:val="0"/>
          <w:sz w:val="20"/>
        </w:rPr>
        <w:t>7-Year</w:t>
      </w:r>
    </w:p>
    <w:p>
      <w:pPr>
        <w:pStyle w:val="TextBody"/>
        <w:bidi w:val="0"/>
        <w:spacing w:before="240" w:after="0"/>
        <w:jc w:val="left"/>
        <w:rPr>
          <w:rFonts w:ascii="arial" w:hAnsi="arial"/>
          <w:sz w:val="20"/>
        </w:rPr>
      </w:pPr>
      <w:r>
        <w:rPr>
          <w:rFonts w:ascii="arial" w:hAnsi="arial"/>
          <w:sz w:val="20"/>
        </w:rPr>
        <w:t xml:space="preserve">Grants (as defined below). As further described in the Company’s Definitive Proxy Statement, filed with the SEC on March 13, 2019, on October 30, 2018, the Compensation Committee granted special, meaningful, stock unit awards (the </w:t>
      </w:r>
    </w:p>
    <w:p>
      <w:pPr>
        <w:pStyle w:val="TextBody"/>
        <w:bidi w:val="0"/>
        <w:spacing w:before="240" w:after="0"/>
        <w:jc w:val="left"/>
        <w:rPr>
          <w:spacing w:val="0"/>
        </w:rPr>
      </w:pPr>
      <w:r>
        <w:rPr>
          <w:spacing w:val="0"/>
        </w:rPr>
        <w:t>“</w:t>
      </w:r>
      <w:r>
        <w:rPr>
          <w:rFonts w:ascii="arial" w:hAnsi="arial"/>
          <w:spacing w:val="0"/>
          <w:sz w:val="20"/>
        </w:rPr>
        <w:t>7-Year</w:t>
      </w:r>
    </w:p>
    <w:p>
      <w:pPr>
        <w:pStyle w:val="TextBody"/>
        <w:bidi w:val="0"/>
        <w:spacing w:before="240" w:after="0"/>
        <w:jc w:val="left"/>
        <w:rPr>
          <w:rFonts w:ascii="arial" w:hAnsi="arial"/>
          <w:sz w:val="20"/>
        </w:rPr>
      </w:pPr>
      <w:r>
        <w:rPr>
          <w:rFonts w:ascii="arial" w:hAnsi="arial"/>
          <w:sz w:val="20"/>
        </w:rPr>
        <w:t xml:space="preserve">Grants”) to Messrs. Carstanjen and Mudd in the form of PSUs and RSUs. The </w:t>
      </w:r>
    </w:p>
    <w:p>
      <w:pPr>
        <w:pStyle w:val="TextBody"/>
        <w:bidi w:val="0"/>
        <w:spacing w:before="240" w:after="0"/>
        <w:jc w:val="left"/>
        <w:rPr>
          <w:rFonts w:ascii="arial" w:hAnsi="arial"/>
          <w:spacing w:val="0"/>
          <w:sz w:val="20"/>
        </w:rPr>
      </w:pPr>
      <w:r>
        <w:rPr>
          <w:rFonts w:ascii="arial" w:hAnsi="arial"/>
          <w:spacing w:val="0"/>
          <w:sz w:val="20"/>
        </w:rPr>
        <w:t>7-Year</w:t>
      </w:r>
    </w:p>
    <w:p>
      <w:pPr>
        <w:pStyle w:val="TextBody"/>
        <w:bidi w:val="0"/>
        <w:spacing w:before="240" w:after="0"/>
        <w:jc w:val="left"/>
        <w:rPr>
          <w:rFonts w:ascii="arial" w:hAnsi="arial"/>
          <w:sz w:val="20"/>
        </w:rPr>
      </w:pPr>
      <w:r>
        <w:rPr>
          <w:rFonts w:ascii="arial" w:hAnsi="arial"/>
          <w:sz w:val="20"/>
        </w:rPr>
        <w:t xml:space="preserve">Grants were awarded to Messrs. Carstanjen and Mudd in recognition of the leadership and unique skills of these executives and to strengthen the retentive aspect of the Company’s executive compensation program in light of the expectation that there would be increased solicitation of Messrs. Carstanjen and Mudd for alternative employment opportunities. The </w:t>
      </w:r>
    </w:p>
    <w:p>
      <w:pPr>
        <w:pStyle w:val="TextBody"/>
        <w:bidi w:val="0"/>
        <w:spacing w:before="240" w:after="0"/>
        <w:jc w:val="left"/>
        <w:rPr>
          <w:rFonts w:ascii="arial" w:hAnsi="arial"/>
          <w:spacing w:val="0"/>
          <w:sz w:val="20"/>
        </w:rPr>
      </w:pPr>
      <w:r>
        <w:rPr>
          <w:rFonts w:ascii="arial" w:hAnsi="arial"/>
          <w:spacing w:val="0"/>
          <w:sz w:val="20"/>
        </w:rPr>
        <w:t>7-Year</w:t>
      </w:r>
    </w:p>
    <w:p>
      <w:pPr>
        <w:pStyle w:val="TextBody"/>
        <w:bidi w:val="0"/>
        <w:spacing w:before="240" w:after="0"/>
        <w:jc w:val="left"/>
        <w:rPr>
          <w:rFonts w:ascii="arial" w:hAnsi="arial"/>
          <w:sz w:val="20"/>
        </w:rPr>
      </w:pPr>
      <w:r>
        <w:rPr>
          <w:rFonts w:ascii="arial" w:hAnsi="arial"/>
          <w:sz w:val="20"/>
        </w:rPr>
        <w:t xml:space="preserve">Grants were designed around three key elements: (1) inclusion of robust performance goals designed to reinforce the Company’s pay for performance philosophy, with no payout under the PSUs unless the Company’s TSR outperformed the median of the Russell 2000; (2) linkage to the Company’s share price appreciation and shareholder interests through a stock-settled award with 67% of the PSUs vesting based on our relative TSR performance and the value of the award subject to continued fluctuations in the Company’s stock price over the </w:t>
      </w:r>
    </w:p>
    <w:p>
      <w:pPr>
        <w:pStyle w:val="TextBody"/>
        <w:bidi w:val="0"/>
        <w:spacing w:before="240" w:after="0"/>
        <w:jc w:val="left"/>
        <w:rPr>
          <w:rFonts w:ascii="arial" w:hAnsi="arial"/>
          <w:spacing w:val="0"/>
          <w:sz w:val="20"/>
        </w:rPr>
      </w:pPr>
      <w:r>
        <w:rPr>
          <w:rFonts w:ascii="arial" w:hAnsi="arial"/>
          <w:spacing w:val="0"/>
          <w:sz w:val="20"/>
        </w:rPr>
        <w:t>7-year</w:t>
      </w:r>
    </w:p>
    <w:p>
      <w:pPr>
        <w:pStyle w:val="TextBody"/>
        <w:bidi w:val="0"/>
        <w:spacing w:before="240" w:after="0"/>
        <w:jc w:val="left"/>
        <w:rPr>
          <w:rFonts w:ascii="arial" w:hAnsi="arial"/>
          <w:sz w:val="20"/>
        </w:rPr>
      </w:pPr>
      <w:r>
        <w:rPr>
          <w:rFonts w:ascii="arial" w:hAnsi="arial"/>
          <w:sz w:val="20"/>
        </w:rPr>
        <w:t xml:space="preserve">vesting period; and (3) appropriate leverage to provide a meaningful compensation opportunity while not promoting excessive risk-taking. Because the </w:t>
      </w:r>
    </w:p>
    <w:p>
      <w:pPr>
        <w:pStyle w:val="TextBody"/>
        <w:bidi w:val="0"/>
        <w:spacing w:before="240" w:after="0"/>
        <w:jc w:val="left"/>
        <w:rPr>
          <w:rFonts w:ascii="arial" w:hAnsi="arial"/>
          <w:spacing w:val="0"/>
          <w:sz w:val="20"/>
        </w:rPr>
      </w:pPr>
      <w:r>
        <w:rPr>
          <w:rFonts w:ascii="arial" w:hAnsi="arial"/>
          <w:spacing w:val="0"/>
          <w:sz w:val="20"/>
        </w:rPr>
        <w:t>7-Year</w:t>
      </w:r>
    </w:p>
    <w:p>
      <w:pPr>
        <w:pStyle w:val="TextBody"/>
        <w:bidi w:val="0"/>
        <w:spacing w:before="240" w:after="0"/>
        <w:jc w:val="left"/>
        <w:rPr>
          <w:rFonts w:ascii="arial" w:hAnsi="arial"/>
          <w:sz w:val="20"/>
        </w:rPr>
      </w:pPr>
      <w:r>
        <w:rPr>
          <w:rFonts w:ascii="arial" w:hAnsi="arial"/>
          <w:sz w:val="20"/>
        </w:rPr>
        <w:t xml:space="preserve">Grants are not eligible for full vesting until the seventh anniversary of the grant date, the Pay Versus Performance disclosure will be impacted by stock price fluctuations over the course of the term of the award. </w:t>
      </w:r>
    </w:p>
    <w:p>
      <w:pPr>
        <w:pStyle w:val="TextBody"/>
        <w:bidi w:val="0"/>
        <w:spacing w:before="240" w:after="0"/>
        <w:jc w:val="left"/>
        <w:rPr>
          <w:rFonts w:ascii="arial" w:hAnsi="arial"/>
          <w:sz w:val="20"/>
        </w:rPr>
      </w:pPr>
      <w:r>
        <w:rPr>
          <w:rFonts w:ascii="arial" w:hAnsi="arial"/>
          <w:sz w:val="20"/>
        </w:rPr>
        <w:t xml:space="preserve">Sixty-seven percent (67%) of the </w:t>
      </w:r>
    </w:p>
    <w:p>
      <w:pPr>
        <w:pStyle w:val="TextBody"/>
        <w:bidi w:val="0"/>
        <w:spacing w:before="240" w:after="0"/>
        <w:jc w:val="left"/>
        <w:rPr>
          <w:rFonts w:ascii="arial" w:hAnsi="arial"/>
          <w:spacing w:val="0"/>
          <w:sz w:val="20"/>
        </w:rPr>
      </w:pPr>
      <w:r>
        <w:rPr>
          <w:rFonts w:ascii="arial" w:hAnsi="arial"/>
          <w:spacing w:val="0"/>
          <w:sz w:val="20"/>
        </w:rPr>
        <w:t>7-Year</w:t>
      </w:r>
    </w:p>
    <w:p>
      <w:pPr>
        <w:pStyle w:val="TextBody"/>
        <w:bidi w:val="0"/>
        <w:spacing w:before="240" w:after="0"/>
        <w:jc w:val="left"/>
        <w:rPr>
          <w:rFonts w:ascii="arial" w:hAnsi="arial"/>
          <w:sz w:val="20"/>
        </w:rPr>
      </w:pPr>
      <w:r>
        <w:rPr>
          <w:rFonts w:ascii="arial" w:hAnsi="arial"/>
          <w:sz w:val="20"/>
        </w:rPr>
        <w:t xml:space="preserve">Grants were in the form of PSUs, with vesting based on the Company’s relative TSR performance versus the Russell 2000 over the three-year performance period (October 30, 2018 through October 29, 2021) and vesting occurring thereafter in twenty-five percent (25%) annual increments over four years based on the executive’s continued service through such date, beginning on the fourth anniversary of the grant date, totaling seven years to be fully vested. </w:t>
      </w:r>
    </w:p>
    <w:p>
      <w:pPr>
        <w:pStyle w:val="TextBody"/>
        <w:bidi w:val="0"/>
        <w:spacing w:before="240" w:after="0"/>
        <w:jc w:val="left"/>
        <w:rPr>
          <w:rFonts w:ascii="arial" w:hAnsi="arial"/>
          <w:sz w:val="20"/>
        </w:rPr>
      </w:pPr>
      <w:r>
        <w:rPr>
          <w:rFonts w:ascii="arial" w:hAnsi="arial"/>
          <w:sz w:val="20"/>
        </w:rPr>
        <w:t xml:space="preserve">The relationship between compensation paid and the pay of our NEOs is further explained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4876"/>
                <w:spacing w:val="0"/>
              </w:rPr>
            </w:pPr>
            <w:r>
              <w:rPr>
                <w:color w:val="004876"/>
                <w:spacing w:val="0"/>
              </w:rPr>
              <w:t>●</w:t>
            </w:r>
          </w:p>
        </w:tc>
        <w:tc>
          <w:tcPr>
            <w:tcW w:w="10020" w:type="dxa"/>
            <w:tcBorders/>
            <w:vAlign w:val="center"/>
          </w:tcPr>
          <w:p>
            <w:pPr>
              <w:pStyle w:val="TableContents"/>
              <w:bidi w:val="0"/>
              <w:spacing w:before="0" w:after="0"/>
              <w:jc w:val="left"/>
              <w:rPr>
                <w:rFonts w:ascii="arial" w:hAnsi="arial"/>
                <w:i/>
                <w:caps w:val="false"/>
                <w:smallCaps w:val="false"/>
                <w:spacing w:val="0"/>
                <w:sz w:val="20"/>
              </w:rPr>
            </w:pPr>
            <w:r>
              <w:rPr>
                <w:rFonts w:ascii="arial" w:hAnsi="arial"/>
                <w:i/>
                <w:caps w:val="false"/>
                <w:smallCaps w:val="false"/>
                <w:spacing w:val="0"/>
                <w:sz w:val="20"/>
              </w:rPr>
              <w:t>Relationship Between “Compensation Actually Paid” to the PEO and Average Other NEOs and the Company’s Cumulative TSR—</w:t>
            </w:r>
          </w:p>
          <w:p>
            <w:pPr>
              <w:pStyle w:val="TableContents"/>
              <w:bidi w:val="0"/>
              <w:spacing w:before="0" w:after="0"/>
              <w:jc w:val="left"/>
              <w:rPr>
                <w:rFonts w:ascii="arial" w:hAnsi="arial"/>
                <w:sz w:val="20"/>
              </w:rPr>
            </w:pPr>
            <w:r>
              <w:rPr>
                <w:rFonts w:ascii="arial" w:hAnsi="arial"/>
                <w:sz w:val="20"/>
              </w:rPr>
              <w:t xml:space="preserve">As calculated in accordance with the SEC disclosure rules, Mr. Carstanjen’s “Compensation Actually Paid” was impacted by the effect of the increase in 2021, and 2023, and the decline in 2022, 2024, and 2025, in the Company’s stock price on Mr. Carstanjen’s </w:t>
            </w:r>
          </w:p>
          <w:p>
            <w:pPr>
              <w:pStyle w:val="TableContents"/>
              <w:bidi w:val="0"/>
              <w:spacing w:before="0" w:after="0"/>
              <w:jc w:val="left"/>
              <w:rPr>
                <w:rFonts w:ascii="arial" w:hAnsi="arial"/>
                <w:spacing w:val="0"/>
                <w:sz w:val="20"/>
              </w:rPr>
            </w:pPr>
            <w:r>
              <w:rPr>
                <w:rFonts w:ascii="arial" w:hAnsi="arial"/>
                <w:spacing w:val="0"/>
                <w:sz w:val="20"/>
              </w:rPr>
              <w:t>7-Year</w:t>
            </w:r>
          </w:p>
          <w:p>
            <w:pPr>
              <w:pStyle w:val="TableContents"/>
              <w:bidi w:val="0"/>
              <w:spacing w:before="0" w:after="0"/>
              <w:jc w:val="left"/>
              <w:rPr>
                <w:rFonts w:ascii="arial" w:hAnsi="arial"/>
                <w:sz w:val="20"/>
              </w:rPr>
            </w:pPr>
            <w:r>
              <w:rPr>
                <w:rFonts w:ascii="arial" w:hAnsi="arial"/>
                <w:sz w:val="20"/>
              </w:rPr>
              <w:t xml:space="preserve">Grant. Similarly, the other NEOs’ “Compensation Actually Paid” was impacted primarily by the effect of the change in stock price on Mr. Mudd’s </w:t>
            </w:r>
          </w:p>
          <w:p>
            <w:pPr>
              <w:pStyle w:val="TableContents"/>
              <w:bidi w:val="0"/>
              <w:spacing w:before="0" w:after="0"/>
              <w:jc w:val="left"/>
              <w:rPr>
                <w:rFonts w:ascii="arial" w:hAnsi="arial"/>
                <w:spacing w:val="0"/>
                <w:sz w:val="20"/>
              </w:rPr>
            </w:pPr>
            <w:r>
              <w:rPr>
                <w:rFonts w:ascii="arial" w:hAnsi="arial"/>
                <w:spacing w:val="0"/>
                <w:sz w:val="20"/>
              </w:rPr>
              <w:t>7-Year</w:t>
            </w:r>
          </w:p>
          <w:p>
            <w:pPr>
              <w:pStyle w:val="TableContents"/>
              <w:bidi w:val="0"/>
              <w:spacing w:before="0" w:after="0"/>
              <w:jc w:val="left"/>
              <w:rPr>
                <w:rFonts w:ascii="arial" w:hAnsi="arial"/>
                <w:sz w:val="20"/>
              </w:rPr>
            </w:pPr>
            <w:r>
              <w:rPr>
                <w:rFonts w:ascii="arial" w:hAnsi="arial"/>
                <w:sz w:val="20"/>
              </w:rPr>
              <w:t xml:space="preserve">Grant. This relationship is further illustrated in the following chart which shows the alignment between our “Compensation Actually Paid” and TSR performance.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pacing w:val="0"/>
                <w:sz w:val="20"/>
              </w:rPr>
            </w:pPr>
            <w:r>
              <w:rPr>
                <w:rFonts w:ascii="arial" w:hAnsi="arial"/>
                <w:b/>
                <w:color w:val="004876"/>
                <w:spacing w:val="0"/>
                <w:sz w:val="20"/>
              </w:rPr>
              <w:t>54</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9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3" descr=""/>
                          <pic:cNvPicPr>
                            <a:picLocks noChangeAspect="1" noChangeArrowheads="1"/>
                          </pic:cNvPicPr>
                        </pic:nvPicPr>
                        <pic:blipFill>
                          <a:blip r:embed="rId94"/>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pacing w:val="0"/>
                <w:sz w:val="18"/>
              </w:rPr>
            </w:pPr>
            <w:r>
              <w:rPr>
                <w:rFonts w:ascii="arial" w:hAnsi="arial"/>
                <w:color w:val="004876"/>
                <w:spacing w:val="0"/>
                <w:sz w:val="18"/>
              </w:rPr>
              <w:t>2026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rFonts w:ascii="arial" w:hAnsi="arial"/>
          <w:b/>
          <w:color w:val="004876"/>
          <w:spacing w:val="0"/>
          <w:sz w:val="20"/>
        </w:rPr>
      </w:pPr>
      <w:r>
        <w:rPr>
          <w:rFonts w:ascii="arial" w:hAnsi="arial"/>
          <w:b/>
          <w:color w:val="004876"/>
          <w:spacing w:val="0"/>
          <w:sz w:val="20"/>
        </w:rPr>
        <w:t xml:space="preserve">Pay Versus Performance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133340" cy="2673985"/>
            <wp:effectExtent l="0" t="0" r="0" b="0"/>
            <wp:docPr id="9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4" descr=""/>
                    <pic:cNvPicPr>
                      <a:picLocks noChangeAspect="1" noChangeArrowheads="1"/>
                    </pic:cNvPicPr>
                  </pic:nvPicPr>
                  <pic:blipFill>
                    <a:blip r:embed="rId95"/>
                    <a:stretch>
                      <a:fillRect/>
                    </a:stretch>
                  </pic:blipFill>
                  <pic:spPr bwMode="auto">
                    <a:xfrm>
                      <a:off x="0" y="0"/>
                      <a:ext cx="5133340" cy="267398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4876"/>
                <w:spacing w:val="0"/>
              </w:rPr>
            </w:pPr>
            <w:r>
              <w:rPr>
                <w:color w:val="004876"/>
                <w:spacing w:val="0"/>
              </w:rPr>
              <w:t>●</w:t>
            </w:r>
          </w:p>
        </w:tc>
        <w:tc>
          <w:tcPr>
            <w:tcW w:w="10020" w:type="dxa"/>
            <w:tcBorders/>
            <w:vAlign w:val="center"/>
          </w:tcPr>
          <w:p>
            <w:pPr>
              <w:pStyle w:val="TableContents"/>
              <w:bidi w:val="0"/>
              <w:spacing w:before="0" w:after="0"/>
              <w:jc w:val="left"/>
              <w:rPr>
                <w:rFonts w:ascii="arial" w:hAnsi="arial"/>
                <w:i/>
                <w:caps w:val="false"/>
                <w:smallCaps w:val="false"/>
                <w:spacing w:val="0"/>
                <w:sz w:val="20"/>
              </w:rPr>
            </w:pPr>
            <w:r>
              <w:rPr>
                <w:rFonts w:ascii="arial" w:hAnsi="arial"/>
                <w:i/>
                <w:caps w:val="false"/>
                <w:smallCaps w:val="false"/>
                <w:spacing w:val="0"/>
                <w:sz w:val="20"/>
              </w:rPr>
              <w:t>Relationship Between “Compensation Actually Paid” to the PEO and Average Other NEOs and the Company’s Net Income and Adjusted EBITDA—</w:t>
            </w:r>
          </w:p>
          <w:p>
            <w:pPr>
              <w:pStyle w:val="TableContents"/>
              <w:bidi w:val="0"/>
              <w:spacing w:before="0" w:after="0"/>
              <w:jc w:val="left"/>
              <w:rPr>
                <w:rFonts w:ascii="arial" w:hAnsi="arial"/>
                <w:sz w:val="20"/>
              </w:rPr>
            </w:pPr>
            <w:r>
              <w:rPr>
                <w:rFonts w:ascii="arial" w:hAnsi="arial"/>
                <w:sz w:val="20"/>
              </w:rPr>
              <w:t xml:space="preserve">The “Compensation Actually Paid” to our NEOs is impacted by net income through the use of Adjusted EBITDA as a component in both the Company’s Executive Annual Incentive Plan and Executive Long- Term Incentive Plan. The relationship between “Compensation Actually Paid” and the Company’s net income and Adjusted EBITDA performance is further illustrated in the following chart: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133340" cy="2673985"/>
            <wp:effectExtent l="0" t="0" r="0" b="0"/>
            <wp:docPr id="9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5" descr=""/>
                    <pic:cNvPicPr>
                      <a:picLocks noChangeAspect="1" noChangeArrowheads="1"/>
                    </pic:cNvPicPr>
                  </pic:nvPicPr>
                  <pic:blipFill>
                    <a:blip r:embed="rId96"/>
                    <a:stretch>
                      <a:fillRect/>
                    </a:stretch>
                  </pic:blipFill>
                  <pic:spPr bwMode="auto">
                    <a:xfrm>
                      <a:off x="0" y="0"/>
                      <a:ext cx="5133340" cy="2673985"/>
                    </a:xfrm>
                    <a:prstGeom prst="rect">
                      <a:avLst/>
                    </a:prstGeom>
                  </pic:spPr>
                </pic:pic>
              </a:graphicData>
            </a:graphic>
          </wp:inline>
        </w:drawing>
      </w:r>
      <w:r>
        <w:rPr/>
        <w:t xml:space="preserve">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pacing w:val="0"/>
                <w:sz w:val="18"/>
              </w:rPr>
            </w:pPr>
            <w:r>
              <w:rPr>
                <w:rFonts w:ascii="arial" w:hAnsi="arial"/>
                <w:color w:val="004876"/>
                <w:spacing w:val="0"/>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9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6" descr=""/>
                          <pic:cNvPicPr>
                            <a:picLocks noChangeAspect="1" noChangeArrowheads="1"/>
                          </pic:cNvPicPr>
                        </pic:nvPicPr>
                        <pic:blipFill>
                          <a:blip r:embed="rId97"/>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pacing w:val="0"/>
                <w:sz w:val="20"/>
              </w:rPr>
            </w:pPr>
            <w:r>
              <w:rPr>
                <w:rFonts w:ascii="arial" w:hAnsi="arial"/>
                <w:b/>
                <w:color w:val="004876"/>
                <w:spacing w:val="0"/>
                <w:sz w:val="20"/>
              </w:rPr>
              <w:t>55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color w:val="004876"/>
          <w:spacing w:val="0"/>
          <w:sz w:val="20"/>
        </w:rPr>
      </w:pPr>
      <w:r>
        <w:rPr>
          <w:rFonts w:ascii="arial" w:hAnsi="arial"/>
          <w:b/>
          <w:color w:val="004876"/>
          <w:spacing w:val="0"/>
          <w:sz w:val="20"/>
        </w:rPr>
        <w:t xml:space="preserve">Pay Versus Performance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130800" cy="2512695"/>
            <wp:effectExtent l="0" t="0" r="0" b="0"/>
            <wp:docPr id="9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7" descr=""/>
                    <pic:cNvPicPr>
                      <a:picLocks noChangeAspect="1" noChangeArrowheads="1"/>
                    </pic:cNvPicPr>
                  </pic:nvPicPr>
                  <pic:blipFill>
                    <a:blip r:embed="rId98"/>
                    <a:stretch>
                      <a:fillRect/>
                    </a:stretch>
                  </pic:blipFill>
                  <pic:spPr bwMode="auto">
                    <a:xfrm>
                      <a:off x="0" y="0"/>
                      <a:ext cx="5130800" cy="251269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4876"/>
                <w:spacing w:val="0"/>
              </w:rPr>
            </w:pPr>
            <w:r>
              <w:rPr>
                <w:color w:val="004876"/>
                <w:spacing w:val="0"/>
              </w:rPr>
              <w:t>●</w:t>
            </w:r>
          </w:p>
        </w:tc>
        <w:tc>
          <w:tcPr>
            <w:tcW w:w="10020" w:type="dxa"/>
            <w:tcBorders/>
            <w:vAlign w:val="center"/>
          </w:tcPr>
          <w:p>
            <w:pPr>
              <w:pStyle w:val="TableContents"/>
              <w:bidi w:val="0"/>
              <w:spacing w:before="0" w:after="0"/>
              <w:jc w:val="left"/>
              <w:rPr>
                <w:rFonts w:ascii="arial" w:hAnsi="arial"/>
                <w:i/>
                <w:caps w:val="false"/>
                <w:smallCaps w:val="false"/>
                <w:spacing w:val="0"/>
                <w:sz w:val="20"/>
              </w:rPr>
            </w:pPr>
            <w:r>
              <w:rPr>
                <w:rFonts w:ascii="arial" w:hAnsi="arial"/>
                <w:i/>
                <w:caps w:val="false"/>
                <w:smallCaps w:val="false"/>
                <w:spacing w:val="0"/>
                <w:sz w:val="20"/>
              </w:rPr>
              <w:t>Relationship Between the Company’s TSR and the Peer Group TSR—</w:t>
            </w:r>
          </w:p>
          <w:p>
            <w:pPr>
              <w:pStyle w:val="TableContents"/>
              <w:bidi w:val="0"/>
              <w:spacing w:before="0" w:after="0"/>
              <w:jc w:val="left"/>
              <w:rPr>
                <w:rFonts w:ascii="arial" w:hAnsi="arial"/>
                <w:sz w:val="20"/>
              </w:rPr>
            </w:pPr>
            <w:r>
              <w:rPr>
                <w:rFonts w:ascii="arial" w:hAnsi="arial"/>
                <w:sz w:val="20"/>
              </w:rPr>
              <w:t xml:space="preserve">Over the 2021 to 2025 time period, the Company’s TSR has consistently outperformed the Peer Group TSR each year, as illustrated in the following chart: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131435" cy="2671445"/>
            <wp:effectExtent l="0" t="0" r="0" b="0"/>
            <wp:docPr id="10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8" descr=""/>
                    <pic:cNvPicPr>
                      <a:picLocks noChangeAspect="1" noChangeArrowheads="1"/>
                    </pic:cNvPicPr>
                  </pic:nvPicPr>
                  <pic:blipFill>
                    <a:blip r:embed="rId99"/>
                    <a:stretch>
                      <a:fillRect/>
                    </a:stretch>
                  </pic:blipFill>
                  <pic:spPr bwMode="auto">
                    <a:xfrm>
                      <a:off x="0" y="0"/>
                      <a:ext cx="5131435" cy="2671445"/>
                    </a:xfrm>
                    <a:prstGeom prst="rect">
                      <a:avLst/>
                    </a:prstGeom>
                  </pic:spPr>
                </pic:pic>
              </a:graphicData>
            </a:graphic>
          </wp:inline>
        </w:drawing>
      </w:r>
      <w:r>
        <w:rPr/>
        <w:t xml:space="preserve"> </w:t>
      </w:r>
    </w:p>
    <w:p>
      <w:pPr>
        <w:pStyle w:val="TextBody"/>
        <w:bidi w:val="0"/>
        <w:spacing w:before="360" w:after="0"/>
        <w:jc w:val="left"/>
        <w:rPr>
          <w:rFonts w:ascii="arial" w:hAnsi="arial"/>
          <w:b/>
          <w:i/>
          <w:caps w:val="false"/>
          <w:smallCaps w:val="false"/>
          <w:spacing w:val="0"/>
          <w:sz w:val="20"/>
        </w:rPr>
      </w:pPr>
      <w:r>
        <w:rPr>
          <w:rFonts w:ascii="arial" w:hAnsi="arial"/>
          <w:b/>
          <w:i/>
          <w:caps w:val="false"/>
          <w:smallCaps w:val="false"/>
          <w:spacing w:val="0"/>
          <w:sz w:val="20"/>
        </w:rPr>
        <w:t xml:space="preserve">Financial Performance Measures </w:t>
      </w:r>
    </w:p>
    <w:p>
      <w:pPr>
        <w:pStyle w:val="TextBody"/>
        <w:bidi w:val="0"/>
        <w:spacing w:before="120" w:after="0"/>
        <w:jc w:val="left"/>
        <w:rPr>
          <w:rFonts w:ascii="arial" w:hAnsi="arial"/>
          <w:sz w:val="20"/>
        </w:rPr>
      </w:pPr>
      <w:r>
        <w:rPr>
          <w:rFonts w:ascii="arial" w:hAnsi="arial"/>
          <w:sz w:val="20"/>
        </w:rPr>
        <w:t xml:space="preserve">As described in greater detail in the CD&amp;A, our approach to executive compensation is designed to (i) attract and retain executives with the skills and experience needed to successfully grow the Company and create value for shareholders; (ii) create an entrepreneurial culture and mindset by </w:t>
      </w:r>
    </w:p>
    <w:p>
      <w:pPr>
        <w:pStyle w:val="TextBody"/>
        <w:bidi w:val="0"/>
        <w:spacing w:before="120" w:after="0"/>
        <w:jc w:val="left"/>
        <w:rPr>
          <w:rFonts w:ascii="arial" w:hAnsi="arial"/>
          <w:spacing w:val="0"/>
          <w:sz w:val="20"/>
        </w:rPr>
      </w:pPr>
      <w:r>
        <w:rPr>
          <w:rFonts w:ascii="arial" w:hAnsi="arial"/>
          <w:spacing w:val="0"/>
          <w:sz w:val="20"/>
        </w:rPr>
        <w:t>de-emphasizing</w:t>
      </w:r>
    </w:p>
    <w:p>
      <w:pPr>
        <w:pStyle w:val="TextBody"/>
        <w:bidi w:val="0"/>
        <w:spacing w:before="120" w:after="0"/>
        <w:jc w:val="left"/>
        <w:rPr>
          <w:rFonts w:ascii="arial" w:hAnsi="arial"/>
          <w:sz w:val="20"/>
        </w:rPr>
      </w:pPr>
      <w:r>
        <w:rPr>
          <w:rFonts w:ascii="arial" w:hAnsi="arial"/>
          <w:sz w:val="20"/>
        </w:rPr>
        <w:t xml:space="preserve">fixed pay (primarily salary) and focusing a significant percentage of compensation on </w:t>
      </w:r>
    </w:p>
    <w:p>
      <w:pPr>
        <w:pStyle w:val="TextBody"/>
        <w:bidi w:val="0"/>
        <w:spacing w:before="120" w:after="0"/>
        <w:jc w:val="left"/>
        <w:rPr>
          <w:rFonts w:ascii="arial" w:hAnsi="arial"/>
          <w:spacing w:val="0"/>
          <w:sz w:val="20"/>
        </w:rPr>
      </w:pPr>
      <w:r>
        <w:rPr>
          <w:rFonts w:ascii="arial" w:hAnsi="arial"/>
          <w:spacing w:val="0"/>
          <w:sz w:val="20"/>
        </w:rPr>
        <w:t>at-risk</w:t>
      </w:r>
    </w:p>
    <w:p>
      <w:pPr>
        <w:pStyle w:val="TextBody"/>
        <w:bidi w:val="0"/>
        <w:spacing w:before="120" w:after="0"/>
        <w:jc w:val="left"/>
        <w:rPr>
          <w:rFonts w:ascii="arial" w:hAnsi="arial"/>
          <w:sz w:val="20"/>
        </w:rPr>
      </w:pPr>
      <w:r>
        <w:rPr>
          <w:rFonts w:ascii="arial" w:hAnsi="arial"/>
          <w:sz w:val="20"/>
        </w:rPr>
        <w:t xml:space="preserve">pay elements (annual and long-term incentives); and (iii) motivate and reward executives for achieving exceptional performance supportive of creating value for shareholders over the long-term. Because of the focus of our executive compensation program towards long-term incentives through grants of PSUs and RSUs, our executive compensation program is designed to be strongly aligned with the interests of our shareholders and our executive compensation program is most significantly impacted by changes in our stock price.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pacing w:val="0"/>
                <w:sz w:val="20"/>
              </w:rPr>
            </w:pPr>
            <w:r>
              <w:rPr>
                <w:rFonts w:ascii="arial" w:hAnsi="arial"/>
                <w:b/>
                <w:color w:val="004876"/>
                <w:spacing w:val="0"/>
                <w:sz w:val="20"/>
              </w:rPr>
              <w:t>56</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0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9" descr=""/>
                          <pic:cNvPicPr>
                            <a:picLocks noChangeAspect="1" noChangeArrowheads="1"/>
                          </pic:cNvPicPr>
                        </pic:nvPicPr>
                        <pic:blipFill>
                          <a:blip r:embed="rId100"/>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pacing w:val="0"/>
                <w:sz w:val="18"/>
              </w:rPr>
            </w:pPr>
            <w:r>
              <w:rPr>
                <w:rFonts w:ascii="arial" w:hAnsi="arial"/>
                <w:color w:val="004876"/>
                <w:spacing w:val="0"/>
                <w:sz w:val="18"/>
              </w:rPr>
              <w:t>2026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rFonts w:ascii="arial" w:hAnsi="arial"/>
          <w:b/>
          <w:color w:val="004876"/>
          <w:spacing w:val="0"/>
          <w:sz w:val="20"/>
        </w:rPr>
      </w:pPr>
      <w:r>
        <w:rPr>
          <w:rFonts w:ascii="arial" w:hAnsi="arial"/>
          <w:b/>
          <w:color w:val="004876"/>
          <w:spacing w:val="0"/>
          <w:sz w:val="20"/>
        </w:rPr>
        <w:t xml:space="preserve">Pay Versus Performance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Our executive compensation program is also designed so that compensation is tied to our performance against </w:t>
      </w:r>
    </w:p>
    <w:p>
      <w:pPr>
        <w:pStyle w:val="TextBody"/>
        <w:bidi w:val="0"/>
        <w:spacing w:before="0" w:after="0"/>
        <w:jc w:val="left"/>
        <w:rPr>
          <w:rFonts w:ascii="arial" w:hAnsi="arial"/>
          <w:spacing w:val="0"/>
          <w:sz w:val="20"/>
        </w:rPr>
      </w:pPr>
      <w:r>
        <w:rPr>
          <w:rFonts w:ascii="arial" w:hAnsi="arial"/>
          <w:spacing w:val="0"/>
          <w:sz w:val="20"/>
        </w:rPr>
        <w:t>pre-established</w:t>
      </w:r>
    </w:p>
    <w:p>
      <w:pPr>
        <w:pStyle w:val="TextBody"/>
        <w:bidi w:val="0"/>
        <w:spacing w:before="0" w:after="0"/>
        <w:jc w:val="left"/>
        <w:rPr>
          <w:rFonts w:ascii="arial" w:hAnsi="arial"/>
          <w:sz w:val="20"/>
        </w:rPr>
      </w:pPr>
      <w:r>
        <w:rPr>
          <w:rFonts w:ascii="arial" w:hAnsi="arial"/>
          <w:sz w:val="20"/>
        </w:rPr>
        <w:t xml:space="preserve">financial measures. The most important financial measures used by the Company to link “Compensation Actually Paid” (as defined by SEC rules) to the Company’s NEOs for the most recently completed fiscal year to the Company’s performance are: </w:t>
      </w:r>
    </w:p>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185"/>
        <w:gridCol w:w="1640"/>
      </w:tblGrid>
      <w:tr>
        <w:trPr/>
        <w:tc>
          <w:tcPr>
            <w:tcW w:w="185" w:type="dxa"/>
            <w:tcBorders/>
            <w:vAlign w:val="center"/>
          </w:tcPr>
          <w:p>
            <w:pPr>
              <w:pStyle w:val="TableContents"/>
              <w:bidi w:val="0"/>
              <w:spacing w:before="0" w:after="0"/>
              <w:jc w:val="left"/>
              <w:rPr>
                <w:color w:val="004876"/>
                <w:spacing w:val="0"/>
              </w:rPr>
            </w:pPr>
            <w:r>
              <w:rPr>
                <w:color w:val="004876"/>
                <w:spacing w:val="0"/>
              </w:rPr>
              <w:t>●</w:t>
            </w:r>
          </w:p>
        </w:tc>
        <w:tc>
          <w:tcPr>
            <w:tcW w:w="1640" w:type="dxa"/>
            <w:tcBorders/>
            <w:vAlign w:val="center"/>
          </w:tcPr>
          <w:p>
            <w:pPr>
              <w:pStyle w:val="TableContents"/>
              <w:bidi w:val="0"/>
              <w:spacing w:before="0" w:after="0"/>
              <w:jc w:val="left"/>
              <w:rPr>
                <w:rFonts w:ascii="arial" w:hAnsi="arial"/>
                <w:sz w:val="20"/>
              </w:rPr>
            </w:pPr>
            <w:r>
              <w:rPr>
                <w:rFonts w:ascii="arial" w:hAnsi="arial"/>
                <w:sz w:val="20"/>
              </w:rPr>
              <w:t xml:space="preserve">Adjusted EBITDA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185"/>
        <w:gridCol w:w="3620"/>
      </w:tblGrid>
      <w:tr>
        <w:trPr/>
        <w:tc>
          <w:tcPr>
            <w:tcW w:w="185" w:type="dxa"/>
            <w:tcBorders/>
            <w:vAlign w:val="center"/>
          </w:tcPr>
          <w:p>
            <w:pPr>
              <w:pStyle w:val="TableContents"/>
              <w:bidi w:val="0"/>
              <w:spacing w:before="0" w:after="0"/>
              <w:jc w:val="left"/>
              <w:rPr>
                <w:color w:val="004876"/>
                <w:spacing w:val="0"/>
              </w:rPr>
            </w:pPr>
            <w:r>
              <w:rPr>
                <w:color w:val="004876"/>
                <w:spacing w:val="0"/>
              </w:rPr>
              <w:t>●</w:t>
            </w:r>
          </w:p>
        </w:tc>
        <w:tc>
          <w:tcPr>
            <w:tcW w:w="3620" w:type="dxa"/>
            <w:tcBorders/>
            <w:vAlign w:val="center"/>
          </w:tcPr>
          <w:p>
            <w:pPr>
              <w:pStyle w:val="TableContents"/>
              <w:bidi w:val="0"/>
              <w:spacing w:before="0" w:after="0"/>
              <w:jc w:val="left"/>
              <w:rPr>
                <w:rFonts w:ascii="arial" w:hAnsi="arial"/>
                <w:sz w:val="20"/>
              </w:rPr>
            </w:pPr>
            <w:r>
              <w:rPr>
                <w:rFonts w:ascii="arial" w:hAnsi="arial"/>
                <w:sz w:val="20"/>
              </w:rPr>
              <w:t xml:space="preserve">Multi-Year Cumulative Adjusted EBITDA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185"/>
        <w:gridCol w:w="2045"/>
      </w:tblGrid>
      <w:tr>
        <w:trPr/>
        <w:tc>
          <w:tcPr>
            <w:tcW w:w="185" w:type="dxa"/>
            <w:tcBorders/>
            <w:vAlign w:val="center"/>
          </w:tcPr>
          <w:p>
            <w:pPr>
              <w:pStyle w:val="TableContents"/>
              <w:bidi w:val="0"/>
              <w:spacing w:before="0" w:after="0"/>
              <w:jc w:val="left"/>
              <w:rPr>
                <w:color w:val="004876"/>
                <w:spacing w:val="0"/>
              </w:rPr>
            </w:pPr>
            <w:r>
              <w:rPr>
                <w:color w:val="004876"/>
                <w:spacing w:val="0"/>
              </w:rPr>
              <w:t>●</w:t>
            </w:r>
          </w:p>
        </w:tc>
        <w:tc>
          <w:tcPr>
            <w:tcW w:w="2045" w:type="dxa"/>
            <w:tcBorders/>
            <w:vAlign w:val="center"/>
          </w:tcPr>
          <w:p>
            <w:pPr>
              <w:pStyle w:val="TableContents"/>
              <w:bidi w:val="0"/>
              <w:spacing w:before="0" w:after="0"/>
              <w:jc w:val="left"/>
              <w:rPr>
                <w:rFonts w:ascii="arial" w:hAnsi="arial"/>
                <w:spacing w:val="0"/>
                <w:sz w:val="20"/>
              </w:rPr>
            </w:pPr>
            <w:r>
              <w:rPr>
                <w:rFonts w:ascii="arial" w:hAnsi="arial"/>
                <w:spacing w:val="0"/>
                <w:sz w:val="20"/>
              </w:rPr>
              <w:t>3-Year</w:t>
            </w:r>
          </w:p>
          <w:p>
            <w:pPr>
              <w:pStyle w:val="TableContents"/>
              <w:bidi w:val="0"/>
              <w:spacing w:before="0" w:after="0"/>
              <w:jc w:val="left"/>
              <w:rPr>
                <w:rFonts w:ascii="arial" w:hAnsi="arial"/>
                <w:sz w:val="20"/>
              </w:rPr>
            </w:pPr>
            <w:r>
              <w:rPr>
                <w:rFonts w:ascii="arial" w:hAnsi="arial"/>
                <w:sz w:val="20"/>
              </w:rPr>
              <w:t xml:space="preserve">Cumulative Cash Flow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185"/>
        <w:gridCol w:w="3965"/>
      </w:tblGrid>
      <w:tr>
        <w:trPr/>
        <w:tc>
          <w:tcPr>
            <w:tcW w:w="185" w:type="dxa"/>
            <w:tcBorders/>
            <w:vAlign w:val="center"/>
          </w:tcPr>
          <w:p>
            <w:pPr>
              <w:pStyle w:val="TableContents"/>
              <w:bidi w:val="0"/>
              <w:spacing w:before="0" w:after="0"/>
              <w:jc w:val="left"/>
              <w:rPr>
                <w:color w:val="004876"/>
                <w:spacing w:val="0"/>
              </w:rPr>
            </w:pPr>
            <w:r>
              <w:rPr>
                <w:color w:val="004876"/>
                <w:spacing w:val="0"/>
              </w:rPr>
              <w:t>●</w:t>
            </w:r>
          </w:p>
        </w:tc>
        <w:tc>
          <w:tcPr>
            <w:tcW w:w="3965" w:type="dxa"/>
            <w:tcBorders/>
            <w:vAlign w:val="center"/>
          </w:tcPr>
          <w:p>
            <w:pPr>
              <w:pStyle w:val="TableContents"/>
              <w:bidi w:val="0"/>
              <w:spacing w:before="0" w:after="0"/>
              <w:jc w:val="left"/>
              <w:rPr>
                <w:rFonts w:ascii="arial" w:hAnsi="arial"/>
                <w:sz w:val="20"/>
              </w:rPr>
            </w:pPr>
            <w:r>
              <w:rPr>
                <w:rFonts w:ascii="arial" w:hAnsi="arial"/>
                <w:sz w:val="20"/>
              </w:rPr>
              <w:t xml:space="preserve">Multi-Year Relative Total Shareholder Return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pacing w:val="0"/>
                <w:sz w:val="18"/>
              </w:rPr>
            </w:pPr>
            <w:r>
              <w:rPr>
                <w:rFonts w:ascii="arial" w:hAnsi="arial"/>
                <w:color w:val="004876"/>
                <w:spacing w:val="0"/>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0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0" descr=""/>
                          <pic:cNvPicPr>
                            <a:picLocks noChangeAspect="1" noChangeArrowheads="1"/>
                          </pic:cNvPicPr>
                        </pic:nvPicPr>
                        <pic:blipFill>
                          <a:blip r:embed="rId101"/>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pacing w:val="0"/>
                <w:sz w:val="20"/>
              </w:rPr>
            </w:pPr>
            <w:r>
              <w:rPr>
                <w:rFonts w:ascii="arial" w:hAnsi="arial"/>
                <w:b/>
                <w:color w:val="004876"/>
                <w:spacing w:val="0"/>
                <w:sz w:val="20"/>
              </w:rPr>
              <w:t>57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Equity Compensation Plan Information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76" w:name="toc123994_67"/>
            <w:bookmarkEnd w:id="76"/>
            <w:r>
              <w:rPr>
                <w:rFonts w:ascii="arial" w:hAnsi="arial"/>
                <w:b/>
                <w:color w:val="004876"/>
                <w:sz w:val="48"/>
              </w:rPr>
              <w:t>EQUITY COMPENSATION PLAN INFORMATION(1)</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9"/>
        <w:gridCol w:w="120"/>
        <w:gridCol w:w="175"/>
        <w:gridCol w:w="2335"/>
        <w:gridCol w:w="428"/>
        <w:gridCol w:w="60"/>
        <w:gridCol w:w="384"/>
        <w:gridCol w:w="1376"/>
        <w:gridCol w:w="60"/>
        <w:gridCol w:w="120"/>
        <w:gridCol w:w="110"/>
        <w:gridCol w:w="1800"/>
        <w:gridCol w:w="288"/>
      </w:tblGrid>
      <w:tr>
        <w:trPr/>
        <w:tc>
          <w:tcPr>
            <w:tcW w:w="29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949" w:type="dxa"/>
            <w:tcBorders/>
            <w:shd w:fill="004876" w:val="clear"/>
            <w:vAlign w:val="center"/>
          </w:tcPr>
          <w:p>
            <w:pPr>
              <w:pStyle w:val="TableContents"/>
              <w:bidi w:val="0"/>
              <w:spacing w:before="0" w:after="283"/>
              <w:jc w:val="left"/>
              <w:rPr>
                <w:sz w:val="4"/>
                <w:szCs w:val="4"/>
              </w:rPr>
            </w:pPr>
            <w:r>
              <w:rPr>
                <w:sz w:val="4"/>
                <w:szCs w:val="4"/>
              </w:rPr>
            </w:r>
          </w:p>
        </w:tc>
        <w:tc>
          <w:tcPr>
            <w:tcW w:w="3058" w:type="dxa"/>
            <w:gridSpan w:val="4"/>
            <w:tcBorders/>
            <w:shd w:fill="004876" w:val="clear"/>
            <w:vAlign w:val="center"/>
          </w:tcPr>
          <w:p>
            <w:pPr>
              <w:pStyle w:val="TableContents"/>
              <w:bidi w:val="0"/>
              <w:spacing w:before="0" w:after="283"/>
              <w:jc w:val="left"/>
              <w:rPr>
                <w:sz w:val="4"/>
                <w:szCs w:val="4"/>
              </w:rPr>
            </w:pPr>
            <w:r>
              <w:rPr>
                <w:sz w:val="4"/>
                <w:szCs w:val="4"/>
              </w:rPr>
            </w:r>
          </w:p>
        </w:tc>
        <w:tc>
          <w:tcPr>
            <w:tcW w:w="1880" w:type="dxa"/>
            <w:gridSpan w:val="4"/>
            <w:tcBorders/>
            <w:shd w:fill="004876" w:val="clear"/>
            <w:vAlign w:val="center"/>
          </w:tcPr>
          <w:p>
            <w:pPr>
              <w:pStyle w:val="TableContents"/>
              <w:bidi w:val="0"/>
              <w:spacing w:before="0" w:after="283"/>
              <w:jc w:val="left"/>
              <w:rPr>
                <w:sz w:val="4"/>
                <w:szCs w:val="4"/>
              </w:rPr>
            </w:pPr>
            <w:r>
              <w:rPr>
                <w:sz w:val="4"/>
                <w:szCs w:val="4"/>
              </w:rPr>
            </w:r>
          </w:p>
        </w:tc>
        <w:tc>
          <w:tcPr>
            <w:tcW w:w="2318" w:type="dxa"/>
            <w:gridSpan w:val="4"/>
            <w:tcBorders/>
            <w:shd w:fill="004876" w:val="clear"/>
            <w:vAlign w:val="center"/>
          </w:tcPr>
          <w:p>
            <w:pPr>
              <w:pStyle w:val="TableContents"/>
              <w:bidi w:val="0"/>
              <w:spacing w:before="0" w:after="283"/>
              <w:jc w:val="left"/>
              <w:rPr>
                <w:sz w:val="4"/>
                <w:szCs w:val="4"/>
              </w:rPr>
            </w:pPr>
            <w:r>
              <w:rPr>
                <w:sz w:val="4"/>
                <w:szCs w:val="4"/>
              </w:rPr>
            </w:r>
          </w:p>
        </w:tc>
      </w:tr>
      <w:tr>
        <w:trPr/>
        <w:tc>
          <w:tcPr>
            <w:tcW w:w="2949" w:type="dxa"/>
            <w:tcBorders>
              <w:bottom w:val="single" w:sz="6" w:space="0" w:color="004876"/>
            </w:tcBorders>
            <w:shd w:fill="004876" w:val="clear"/>
            <w:tcMar>
              <w:bottom w:w="12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Plan Category</w:t>
            </w:r>
          </w:p>
        </w:tc>
        <w:tc>
          <w:tcPr>
            <w:tcW w:w="1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2510" w:type="dxa"/>
            <w:gridSpan w:val="2"/>
            <w:tcBorders>
              <w:bottom w:val="single" w:sz="6" w:space="0" w:color="004876"/>
            </w:tcBorders>
            <w:shd w:fill="004876" w:val="clear"/>
            <w:tcMar>
              <w:bottom w:w="120" w:type="dxa"/>
            </w:tcMar>
            <w:vAlign w:val="center"/>
          </w:tcPr>
          <w:p>
            <w:pPr>
              <w:pStyle w:val="TableContents"/>
              <w:bidi w:val="0"/>
              <w:spacing w:before="0" w:after="283"/>
              <w:jc w:val="center"/>
              <w:rPr>
                <w:b/>
                <w:color w:val="FFFFFF"/>
              </w:rPr>
            </w:pPr>
            <w:r>
              <w:rPr>
                <w:b/>
                <w:color w:val="FFFFFF"/>
              </w:rPr>
              <w:t>(a)</w:t>
              <w:br/>
              <w:t>Number of Securities to</w:t>
              <w:br/>
              <w:t>be Issued Upon Exercise</w:t>
              <w:br/>
              <w:t>of Outstanding Options,</w:t>
              <w:br/>
              <w:t>Warrants and Rights</w:t>
            </w:r>
          </w:p>
        </w:tc>
        <w:tc>
          <w:tcPr>
            <w:tcW w:w="428"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760" w:type="dxa"/>
            <w:gridSpan w:val="2"/>
            <w:tcBorders>
              <w:bottom w:val="single" w:sz="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(b)</w:t>
            </w:r>
          </w:p>
          <w:p>
            <w:pPr>
              <w:pStyle w:val="TableContents"/>
              <w:bidi w:val="0"/>
              <w:spacing w:before="0" w:after="20"/>
              <w:jc w:val="center"/>
              <w:rPr>
                <w:rFonts w:ascii="arial" w:hAnsi="arial"/>
                <w:b/>
                <w:color w:val="FFFFFF"/>
                <w:sz w:val="16"/>
              </w:rPr>
            </w:pPr>
            <w:r>
              <w:rPr>
                <w:rFonts w:ascii="arial" w:hAnsi="arial"/>
                <w:b/>
                <w:color w:val="FFFFFF"/>
                <w:sz w:val="16"/>
              </w:rPr>
              <w:t>Weighted-Average</w:t>
              <w:br/>
              <w:t>Exercise Price of</w:t>
              <w:br/>
              <w:t>Outstanding Options,</w:t>
              <w:br/>
              <w:t>Warrants and Rights</w:t>
            </w:r>
          </w:p>
        </w:tc>
        <w:tc>
          <w:tcPr>
            <w:tcW w:w="6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20"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c>
          <w:tcPr>
            <w:tcW w:w="1910" w:type="dxa"/>
            <w:gridSpan w:val="2"/>
            <w:tcBorders>
              <w:bottom w:val="single" w:sz="6" w:space="0" w:color="004876"/>
            </w:tcBorders>
            <w:shd w:fill="004876" w:val="clear"/>
            <w:tcMar>
              <w:bottom w:w="12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(c)</w:t>
            </w:r>
          </w:p>
          <w:p>
            <w:pPr>
              <w:pStyle w:val="TableContents"/>
              <w:bidi w:val="0"/>
              <w:spacing w:before="0" w:after="20"/>
              <w:jc w:val="center"/>
              <w:rPr>
                <w:rFonts w:ascii="arial" w:hAnsi="arial"/>
                <w:b/>
                <w:color w:val="FFFFFF"/>
                <w:sz w:val="16"/>
              </w:rPr>
            </w:pPr>
            <w:r>
              <w:rPr>
                <w:rFonts w:ascii="arial" w:hAnsi="arial"/>
                <w:b/>
                <w:color w:val="FFFFFF"/>
                <w:sz w:val="16"/>
              </w:rPr>
              <w:t>Number of Securities</w:t>
              <w:br/>
              <w:t>Remaining Available for</w:t>
              <w:br/>
              <w:t>Future Issuance Under</w:t>
              <w:br/>
              <w:t>Equity Compensation</w:t>
              <w:br/>
              <w:t>Plans (Excluding</w:t>
              <w:br/>
              <w:t>Securities Reflected in</w:t>
              <w:br/>
              <w:t>Column (a))</w:t>
            </w:r>
          </w:p>
        </w:tc>
        <w:tc>
          <w:tcPr>
            <w:tcW w:w="288" w:type="dxa"/>
            <w:tcBorders>
              <w:bottom w:val="single" w:sz="6" w:space="0" w:color="004876"/>
            </w:tcBorders>
            <w:shd w:fill="004876" w:val="clear"/>
            <w:tcMar>
              <w:bottom w:w="28" w:type="dxa"/>
            </w:tcMar>
            <w:vAlign w:val="center"/>
          </w:tcPr>
          <w:p>
            <w:pPr>
              <w:pStyle w:val="TableContents"/>
              <w:bidi w:val="0"/>
              <w:spacing w:before="0" w:after="283"/>
              <w:jc w:val="left"/>
              <w:rPr/>
            </w:pPr>
            <w:r>
              <w:rPr/>
              <w:t> </w:t>
            </w:r>
          </w:p>
        </w:tc>
      </w:tr>
      <w:tr>
        <w:trPr/>
        <w:tc>
          <w:tcPr>
            <w:tcW w:w="2949" w:type="dxa"/>
            <w:tcBorders/>
            <w:shd w:fill="F1EBD0" w:val="clear"/>
            <w:vAlign w:val="center"/>
          </w:tcPr>
          <w:p>
            <w:pPr>
              <w:pStyle w:val="TableContents"/>
              <w:bidi w:val="0"/>
              <w:spacing w:before="0" w:after="283"/>
              <w:jc w:val="left"/>
              <w:rPr>
                <w:sz w:val="4"/>
                <w:szCs w:val="4"/>
              </w:rPr>
            </w:pPr>
            <w:r>
              <w:rPr>
                <w:sz w:val="4"/>
                <w:szCs w:val="4"/>
              </w:rPr>
            </w:r>
          </w:p>
        </w:tc>
        <w:tc>
          <w:tcPr>
            <w:tcW w:w="3058" w:type="dxa"/>
            <w:gridSpan w:val="4"/>
            <w:tcBorders/>
            <w:vAlign w:val="center"/>
          </w:tcPr>
          <w:p>
            <w:pPr>
              <w:pStyle w:val="TableContents"/>
              <w:bidi w:val="0"/>
              <w:spacing w:before="0" w:after="283"/>
              <w:jc w:val="left"/>
              <w:rPr>
                <w:sz w:val="4"/>
                <w:szCs w:val="4"/>
              </w:rPr>
            </w:pPr>
            <w:r>
              <w:rPr>
                <w:sz w:val="4"/>
                <w:szCs w:val="4"/>
              </w:rPr>
            </w:r>
          </w:p>
        </w:tc>
        <w:tc>
          <w:tcPr>
            <w:tcW w:w="1880" w:type="dxa"/>
            <w:gridSpan w:val="4"/>
            <w:tcBorders/>
            <w:vAlign w:val="center"/>
          </w:tcPr>
          <w:p>
            <w:pPr>
              <w:pStyle w:val="TableContents"/>
              <w:bidi w:val="0"/>
              <w:spacing w:before="0" w:after="283"/>
              <w:jc w:val="left"/>
              <w:rPr>
                <w:sz w:val="4"/>
                <w:szCs w:val="4"/>
              </w:rPr>
            </w:pPr>
            <w:r>
              <w:rPr>
                <w:sz w:val="4"/>
                <w:szCs w:val="4"/>
              </w:rPr>
            </w:r>
          </w:p>
        </w:tc>
        <w:tc>
          <w:tcPr>
            <w:tcW w:w="2318" w:type="dxa"/>
            <w:gridSpan w:val="4"/>
            <w:tcBorders/>
            <w:vAlign w:val="center"/>
          </w:tcPr>
          <w:p>
            <w:pPr>
              <w:pStyle w:val="TableContents"/>
              <w:bidi w:val="0"/>
              <w:spacing w:before="0" w:after="283"/>
              <w:jc w:val="left"/>
              <w:rPr>
                <w:sz w:val="4"/>
                <w:szCs w:val="4"/>
              </w:rPr>
            </w:pPr>
            <w:r>
              <w:rPr>
                <w:sz w:val="4"/>
                <w:szCs w:val="4"/>
              </w:rPr>
            </w:r>
          </w:p>
        </w:tc>
      </w:tr>
      <w:tr>
        <w:trPr/>
        <w:tc>
          <w:tcPr>
            <w:tcW w:w="2949" w:type="dxa"/>
            <w:tcBorders>
              <w:bottom w:val="single" w:sz="6" w:space="0" w:color="B99C16"/>
            </w:tcBorders>
            <w:shd w:fill="F1EBD0" w:val="clear"/>
            <w:tcMar>
              <w:bottom w:w="80" w:type="dxa"/>
            </w:tcMar>
            <w:vAlign w:val="center"/>
          </w:tcPr>
          <w:p>
            <w:pPr>
              <w:pStyle w:val="TableContents"/>
              <w:bidi w:val="0"/>
              <w:spacing w:before="0" w:after="0"/>
              <w:jc w:val="left"/>
              <w:rPr>
                <w:rFonts w:ascii="arial" w:hAnsi="arial"/>
                <w:sz w:val="20"/>
              </w:rPr>
            </w:pPr>
            <w:r>
              <w:rPr>
                <w:rFonts w:ascii="arial" w:hAnsi="arial"/>
                <w:sz w:val="20"/>
              </w:rPr>
              <w:t>Equity compensation plans approved by security holders(2)</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75" w:type="dxa"/>
            <w:tcBorders>
              <w:bottom w:val="single" w:sz="6" w:space="0" w:color="B99C16"/>
            </w:tcBorders>
            <w:tcMar>
              <w:bottom w:w="80" w:type="dxa"/>
            </w:tcMar>
            <w:vAlign w:val="center"/>
          </w:tcPr>
          <w:p>
            <w:pPr>
              <w:pStyle w:val="TableContents"/>
              <w:bidi w:val="0"/>
              <w:spacing w:before="0" w:after="283"/>
              <w:jc w:val="left"/>
              <w:rPr/>
            </w:pPr>
            <w:r>
              <w:rPr/>
              <w:t> </w:t>
            </w:r>
          </w:p>
        </w:tc>
        <w:tc>
          <w:tcPr>
            <w:tcW w:w="2335" w:type="dxa"/>
            <w:tcBorders>
              <w:bottom w:val="single" w:sz="6" w:space="0" w:color="B99C16"/>
            </w:tcBorders>
            <w:tcMar>
              <w:bottom w:w="80" w:type="dxa"/>
            </w:tcMar>
            <w:vAlign w:val="center"/>
          </w:tcPr>
          <w:p>
            <w:pPr>
              <w:pStyle w:val="TableContents"/>
              <w:bidi w:val="0"/>
              <w:spacing w:before="0" w:after="283"/>
              <w:jc w:val="right"/>
              <w:rPr/>
            </w:pPr>
            <w:r>
              <w:rPr/>
              <w:t>688,875</w:t>
            </w:r>
          </w:p>
        </w:tc>
        <w:tc>
          <w:tcPr>
            <w:tcW w:w="428" w:type="dxa"/>
            <w:tcBorders>
              <w:bottom w:val="single" w:sz="6" w:space="0" w:color="B99C16"/>
            </w:tcBorders>
            <w:tcMar>
              <w:bottom w:w="80" w:type="dxa"/>
            </w:tcMar>
            <w:vAlign w:val="center"/>
          </w:tcPr>
          <w:p>
            <w:pPr>
              <w:pStyle w:val="TableContents"/>
              <w:bidi w:val="0"/>
              <w:spacing w:before="0" w:after="283"/>
              <w:jc w:val="left"/>
              <w:rPr/>
            </w:pPr>
            <w:r>
              <w:rPr/>
              <w:t>(3)(4)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84" w:type="dxa"/>
            <w:tcBorders>
              <w:bottom w:val="single" w:sz="6" w:space="0" w:color="B99C16"/>
            </w:tcBorders>
            <w:tcMar>
              <w:bottom w:w="80" w:type="dxa"/>
            </w:tcMar>
            <w:vAlign w:val="center"/>
          </w:tcPr>
          <w:p>
            <w:pPr>
              <w:pStyle w:val="TableContents"/>
              <w:bidi w:val="0"/>
              <w:spacing w:before="0" w:after="283"/>
              <w:jc w:val="left"/>
              <w:rPr/>
            </w:pPr>
            <w:r>
              <w:rPr/>
              <w:t> </w:t>
            </w:r>
          </w:p>
        </w:tc>
        <w:tc>
          <w:tcPr>
            <w:tcW w:w="1376" w:type="dxa"/>
            <w:tcBorders>
              <w:bottom w:val="single" w:sz="6" w:space="0" w:color="B99C16"/>
            </w:tcBorders>
            <w:tcMar>
              <w:bottom w:w="80" w:type="dxa"/>
            </w:tcMar>
            <w:vAlign w:val="center"/>
          </w:tcPr>
          <w:p>
            <w:pPr>
              <w:pStyle w:val="TableContents"/>
              <w:bidi w:val="0"/>
              <w:spacing w:before="0" w:after="283"/>
              <w:jc w:val="right"/>
              <w:rPr/>
            </w:pPr>
            <w:r>
              <w:rPr/>
              <w:t>-0-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 w:type="dxa"/>
            <w:tcBorders>
              <w:bottom w:val="single" w:sz="6" w:space="0" w:color="B99C16"/>
            </w:tcBorders>
            <w:tcMar>
              <w:bottom w:w="80" w:type="dxa"/>
            </w:tcMar>
            <w:vAlign w:val="center"/>
          </w:tcPr>
          <w:p>
            <w:pPr>
              <w:pStyle w:val="TableContents"/>
              <w:bidi w:val="0"/>
              <w:spacing w:before="0" w:after="283"/>
              <w:jc w:val="left"/>
              <w:rPr/>
            </w:pPr>
            <w:r>
              <w:rPr/>
              <w:t> </w:t>
            </w:r>
          </w:p>
        </w:tc>
        <w:tc>
          <w:tcPr>
            <w:tcW w:w="1800" w:type="dxa"/>
            <w:tcBorders>
              <w:bottom w:val="single" w:sz="6" w:space="0" w:color="B99C16"/>
            </w:tcBorders>
            <w:tcMar>
              <w:bottom w:w="80" w:type="dxa"/>
            </w:tcMar>
            <w:vAlign w:val="center"/>
          </w:tcPr>
          <w:p>
            <w:pPr>
              <w:pStyle w:val="TableContents"/>
              <w:bidi w:val="0"/>
              <w:spacing w:before="0" w:after="283"/>
              <w:jc w:val="right"/>
              <w:rPr/>
            </w:pPr>
            <w:r>
              <w:rPr/>
              <w:t>3,054,205</w:t>
            </w:r>
          </w:p>
        </w:tc>
        <w:tc>
          <w:tcPr>
            <w:tcW w:w="288" w:type="dxa"/>
            <w:tcBorders>
              <w:bottom w:val="single" w:sz="6" w:space="0" w:color="B99C16"/>
            </w:tcBorders>
            <w:tcMar>
              <w:bottom w:w="80" w:type="dxa"/>
            </w:tcMar>
            <w:vAlign w:val="center"/>
          </w:tcPr>
          <w:p>
            <w:pPr>
              <w:pStyle w:val="TableContents"/>
              <w:bidi w:val="0"/>
              <w:spacing w:before="0" w:after="283"/>
              <w:jc w:val="left"/>
              <w:rPr/>
            </w:pPr>
            <w:r>
              <w:rPr/>
              <w:t>(5) </w:t>
            </w:r>
          </w:p>
        </w:tc>
      </w:tr>
      <w:tr>
        <w:trPr/>
        <w:tc>
          <w:tcPr>
            <w:tcW w:w="2949" w:type="dxa"/>
            <w:tcBorders/>
            <w:shd w:fill="F1EBD0" w:val="clear"/>
            <w:vAlign w:val="center"/>
          </w:tcPr>
          <w:p>
            <w:pPr>
              <w:pStyle w:val="TableContents"/>
              <w:bidi w:val="0"/>
              <w:spacing w:before="0" w:after="283"/>
              <w:jc w:val="left"/>
              <w:rPr>
                <w:sz w:val="4"/>
                <w:szCs w:val="4"/>
              </w:rPr>
            </w:pPr>
            <w:r>
              <w:rPr>
                <w:sz w:val="4"/>
                <w:szCs w:val="4"/>
              </w:rPr>
            </w:r>
          </w:p>
        </w:tc>
        <w:tc>
          <w:tcPr>
            <w:tcW w:w="3058" w:type="dxa"/>
            <w:gridSpan w:val="4"/>
            <w:tcBorders/>
            <w:vAlign w:val="center"/>
          </w:tcPr>
          <w:p>
            <w:pPr>
              <w:pStyle w:val="TableContents"/>
              <w:bidi w:val="0"/>
              <w:spacing w:before="0" w:after="283"/>
              <w:jc w:val="left"/>
              <w:rPr>
                <w:sz w:val="4"/>
                <w:szCs w:val="4"/>
              </w:rPr>
            </w:pPr>
            <w:r>
              <w:rPr>
                <w:sz w:val="4"/>
                <w:szCs w:val="4"/>
              </w:rPr>
            </w:r>
          </w:p>
        </w:tc>
        <w:tc>
          <w:tcPr>
            <w:tcW w:w="1880" w:type="dxa"/>
            <w:gridSpan w:val="4"/>
            <w:tcBorders/>
            <w:vAlign w:val="center"/>
          </w:tcPr>
          <w:p>
            <w:pPr>
              <w:pStyle w:val="TableContents"/>
              <w:bidi w:val="0"/>
              <w:spacing w:before="0" w:after="283"/>
              <w:jc w:val="left"/>
              <w:rPr>
                <w:sz w:val="4"/>
                <w:szCs w:val="4"/>
              </w:rPr>
            </w:pPr>
            <w:r>
              <w:rPr>
                <w:sz w:val="4"/>
                <w:szCs w:val="4"/>
              </w:rPr>
            </w:r>
          </w:p>
        </w:tc>
        <w:tc>
          <w:tcPr>
            <w:tcW w:w="2318" w:type="dxa"/>
            <w:gridSpan w:val="4"/>
            <w:tcBorders/>
            <w:vAlign w:val="center"/>
          </w:tcPr>
          <w:p>
            <w:pPr>
              <w:pStyle w:val="TableContents"/>
              <w:bidi w:val="0"/>
              <w:spacing w:before="0" w:after="283"/>
              <w:jc w:val="left"/>
              <w:rPr>
                <w:sz w:val="4"/>
                <w:szCs w:val="4"/>
              </w:rPr>
            </w:pPr>
            <w:r>
              <w:rPr>
                <w:sz w:val="4"/>
                <w:szCs w:val="4"/>
              </w:rPr>
            </w:r>
          </w:p>
        </w:tc>
      </w:tr>
      <w:tr>
        <w:trPr/>
        <w:tc>
          <w:tcPr>
            <w:tcW w:w="2949" w:type="dxa"/>
            <w:tcBorders>
              <w:bottom w:val="single" w:sz="6" w:space="0" w:color="B99C16"/>
            </w:tcBorders>
            <w:shd w:fill="F1EBD0" w:val="clear"/>
            <w:tcMar>
              <w:bottom w:w="80" w:type="dxa"/>
            </w:tcMar>
            <w:vAlign w:val="center"/>
          </w:tcPr>
          <w:p>
            <w:pPr>
              <w:pStyle w:val="TableContents"/>
              <w:bidi w:val="0"/>
              <w:spacing w:before="0" w:after="0"/>
              <w:jc w:val="left"/>
              <w:rPr>
                <w:rFonts w:ascii="arial" w:hAnsi="arial"/>
                <w:sz w:val="20"/>
              </w:rPr>
            </w:pPr>
            <w:r>
              <w:rPr>
                <w:rFonts w:ascii="arial" w:hAnsi="arial"/>
                <w:sz w:val="20"/>
              </w:rPr>
              <w:t>Equity compensation plans not approved by security holders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75" w:type="dxa"/>
            <w:tcBorders>
              <w:bottom w:val="single" w:sz="6" w:space="0" w:color="B99C16"/>
            </w:tcBorders>
            <w:tcMar>
              <w:bottom w:w="80" w:type="dxa"/>
            </w:tcMar>
            <w:vAlign w:val="center"/>
          </w:tcPr>
          <w:p>
            <w:pPr>
              <w:pStyle w:val="TableContents"/>
              <w:bidi w:val="0"/>
              <w:spacing w:before="0" w:after="283"/>
              <w:jc w:val="left"/>
              <w:rPr/>
            </w:pPr>
            <w:r>
              <w:rPr/>
              <w:t> </w:t>
            </w:r>
          </w:p>
        </w:tc>
        <w:tc>
          <w:tcPr>
            <w:tcW w:w="2335" w:type="dxa"/>
            <w:tcBorders>
              <w:bottom w:val="single" w:sz="6" w:space="0" w:color="B99C16"/>
            </w:tcBorders>
            <w:tcMar>
              <w:bottom w:w="80" w:type="dxa"/>
            </w:tcMar>
            <w:vAlign w:val="center"/>
          </w:tcPr>
          <w:p>
            <w:pPr>
              <w:pStyle w:val="TableContents"/>
              <w:bidi w:val="0"/>
              <w:spacing w:before="0" w:after="283"/>
              <w:jc w:val="right"/>
              <w:rPr/>
            </w:pPr>
            <w:r>
              <w:rPr/>
              <w:t>-0-</w:t>
            </w:r>
          </w:p>
        </w:tc>
        <w:tc>
          <w:tcPr>
            <w:tcW w:w="428"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84" w:type="dxa"/>
            <w:tcBorders>
              <w:bottom w:val="single" w:sz="6" w:space="0" w:color="B99C16"/>
            </w:tcBorders>
            <w:tcMar>
              <w:bottom w:w="80" w:type="dxa"/>
            </w:tcMar>
            <w:vAlign w:val="center"/>
          </w:tcPr>
          <w:p>
            <w:pPr>
              <w:pStyle w:val="TableContents"/>
              <w:bidi w:val="0"/>
              <w:spacing w:before="0" w:after="283"/>
              <w:jc w:val="left"/>
              <w:rPr/>
            </w:pPr>
            <w:r>
              <w:rPr/>
              <w:t> </w:t>
            </w:r>
          </w:p>
        </w:tc>
        <w:tc>
          <w:tcPr>
            <w:tcW w:w="1376" w:type="dxa"/>
            <w:tcBorders>
              <w:bottom w:val="single" w:sz="6" w:space="0" w:color="B99C16"/>
            </w:tcBorders>
            <w:tcMar>
              <w:bottom w:w="80" w:type="dxa"/>
            </w:tcMar>
            <w:vAlign w:val="center"/>
          </w:tcPr>
          <w:p>
            <w:pPr>
              <w:pStyle w:val="TableContents"/>
              <w:bidi w:val="0"/>
              <w:spacing w:before="0" w:after="283"/>
              <w:jc w:val="right"/>
              <w:rPr/>
            </w:pPr>
            <w:r>
              <w:rPr/>
              <w:t>-0-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 w:type="dxa"/>
            <w:tcBorders>
              <w:bottom w:val="single" w:sz="6" w:space="0" w:color="B99C16"/>
            </w:tcBorders>
            <w:tcMar>
              <w:bottom w:w="80" w:type="dxa"/>
            </w:tcMar>
            <w:vAlign w:val="center"/>
          </w:tcPr>
          <w:p>
            <w:pPr>
              <w:pStyle w:val="TableContents"/>
              <w:bidi w:val="0"/>
              <w:spacing w:before="0" w:after="283"/>
              <w:jc w:val="left"/>
              <w:rPr/>
            </w:pPr>
            <w:r>
              <w:rPr/>
              <w:t> </w:t>
            </w:r>
          </w:p>
        </w:tc>
        <w:tc>
          <w:tcPr>
            <w:tcW w:w="1800" w:type="dxa"/>
            <w:tcBorders>
              <w:bottom w:val="single" w:sz="6" w:space="0" w:color="B99C16"/>
            </w:tcBorders>
            <w:tcMar>
              <w:bottom w:w="80" w:type="dxa"/>
            </w:tcMar>
            <w:vAlign w:val="center"/>
          </w:tcPr>
          <w:p>
            <w:pPr>
              <w:pStyle w:val="TableContents"/>
              <w:bidi w:val="0"/>
              <w:spacing w:before="0" w:after="283"/>
              <w:jc w:val="right"/>
              <w:rPr/>
            </w:pPr>
            <w:r>
              <w:rPr/>
              <w:t>-0-</w:t>
            </w:r>
          </w:p>
        </w:tc>
        <w:tc>
          <w:tcPr>
            <w:tcW w:w="288"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2949" w:type="dxa"/>
            <w:tcBorders/>
            <w:shd w:fill="F1EBD0" w:val="clear"/>
            <w:vAlign w:val="center"/>
          </w:tcPr>
          <w:p>
            <w:pPr>
              <w:pStyle w:val="TableContents"/>
              <w:bidi w:val="0"/>
              <w:spacing w:before="0" w:after="283"/>
              <w:jc w:val="left"/>
              <w:rPr>
                <w:sz w:val="4"/>
                <w:szCs w:val="4"/>
              </w:rPr>
            </w:pPr>
            <w:r>
              <w:rPr>
                <w:sz w:val="4"/>
                <w:szCs w:val="4"/>
              </w:rPr>
            </w:r>
          </w:p>
        </w:tc>
        <w:tc>
          <w:tcPr>
            <w:tcW w:w="3058" w:type="dxa"/>
            <w:gridSpan w:val="4"/>
            <w:tcBorders/>
            <w:vAlign w:val="center"/>
          </w:tcPr>
          <w:p>
            <w:pPr>
              <w:pStyle w:val="TableContents"/>
              <w:bidi w:val="0"/>
              <w:spacing w:before="0" w:after="283"/>
              <w:jc w:val="left"/>
              <w:rPr>
                <w:sz w:val="4"/>
                <w:szCs w:val="4"/>
              </w:rPr>
            </w:pPr>
            <w:r>
              <w:rPr>
                <w:sz w:val="4"/>
                <w:szCs w:val="4"/>
              </w:rPr>
            </w:r>
          </w:p>
        </w:tc>
        <w:tc>
          <w:tcPr>
            <w:tcW w:w="1880" w:type="dxa"/>
            <w:gridSpan w:val="4"/>
            <w:tcBorders/>
            <w:vAlign w:val="center"/>
          </w:tcPr>
          <w:p>
            <w:pPr>
              <w:pStyle w:val="TableContents"/>
              <w:bidi w:val="0"/>
              <w:spacing w:before="0" w:after="283"/>
              <w:jc w:val="left"/>
              <w:rPr>
                <w:sz w:val="4"/>
                <w:szCs w:val="4"/>
              </w:rPr>
            </w:pPr>
            <w:r>
              <w:rPr>
                <w:sz w:val="4"/>
                <w:szCs w:val="4"/>
              </w:rPr>
            </w:r>
          </w:p>
        </w:tc>
        <w:tc>
          <w:tcPr>
            <w:tcW w:w="2318" w:type="dxa"/>
            <w:gridSpan w:val="4"/>
            <w:tcBorders/>
            <w:vAlign w:val="center"/>
          </w:tcPr>
          <w:p>
            <w:pPr>
              <w:pStyle w:val="TableContents"/>
              <w:bidi w:val="0"/>
              <w:spacing w:before="0" w:after="283"/>
              <w:jc w:val="left"/>
              <w:rPr>
                <w:sz w:val="4"/>
                <w:szCs w:val="4"/>
              </w:rPr>
            </w:pPr>
            <w:r>
              <w:rPr>
                <w:sz w:val="4"/>
                <w:szCs w:val="4"/>
              </w:rPr>
            </w:r>
          </w:p>
        </w:tc>
      </w:tr>
      <w:tr>
        <w:trPr/>
        <w:tc>
          <w:tcPr>
            <w:tcW w:w="2949" w:type="dxa"/>
            <w:tcBorders>
              <w:bottom w:val="single" w:sz="6" w:space="0" w:color="B99C16"/>
            </w:tcBorders>
            <w:shd w:fill="F1EBD0" w:val="clear"/>
            <w:tcMar>
              <w:bottom w:w="80" w:type="dxa"/>
            </w:tcMar>
            <w:vAlign w:val="center"/>
          </w:tcPr>
          <w:p>
            <w:pPr>
              <w:pStyle w:val="TableContents"/>
              <w:bidi w:val="0"/>
              <w:spacing w:before="0" w:after="0"/>
              <w:jc w:val="left"/>
              <w:rPr>
                <w:rFonts w:ascii="arial" w:hAnsi="arial"/>
                <w:sz w:val="20"/>
              </w:rPr>
            </w:pPr>
            <w:r>
              <w:rPr>
                <w:rFonts w:ascii="arial" w:hAnsi="arial"/>
                <w:sz w:val="20"/>
              </w:rPr>
              <w:t>Total</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75" w:type="dxa"/>
            <w:tcBorders>
              <w:bottom w:val="single" w:sz="6" w:space="0" w:color="B99C16"/>
            </w:tcBorders>
            <w:tcMar>
              <w:bottom w:w="80" w:type="dxa"/>
            </w:tcMar>
            <w:vAlign w:val="center"/>
          </w:tcPr>
          <w:p>
            <w:pPr>
              <w:pStyle w:val="TableContents"/>
              <w:bidi w:val="0"/>
              <w:spacing w:before="0" w:after="283"/>
              <w:jc w:val="left"/>
              <w:rPr/>
            </w:pPr>
            <w:r>
              <w:rPr/>
              <w:t> </w:t>
            </w:r>
          </w:p>
        </w:tc>
        <w:tc>
          <w:tcPr>
            <w:tcW w:w="2335" w:type="dxa"/>
            <w:tcBorders>
              <w:bottom w:val="single" w:sz="6" w:space="0" w:color="B99C16"/>
            </w:tcBorders>
            <w:tcMar>
              <w:bottom w:w="80" w:type="dxa"/>
            </w:tcMar>
            <w:vAlign w:val="center"/>
          </w:tcPr>
          <w:p>
            <w:pPr>
              <w:pStyle w:val="TableContents"/>
              <w:bidi w:val="0"/>
              <w:spacing w:before="0" w:after="283"/>
              <w:jc w:val="right"/>
              <w:rPr/>
            </w:pPr>
            <w:r>
              <w:rPr/>
              <w:t>688,875</w:t>
            </w:r>
          </w:p>
        </w:tc>
        <w:tc>
          <w:tcPr>
            <w:tcW w:w="428" w:type="dxa"/>
            <w:tcBorders>
              <w:bottom w:val="single" w:sz="6" w:space="0" w:color="B99C16"/>
            </w:tcBorders>
            <w:tcMar>
              <w:bottom w:w="80" w:type="dxa"/>
            </w:tcMar>
            <w:vAlign w:val="center"/>
          </w:tcPr>
          <w:p>
            <w:pPr>
              <w:pStyle w:val="TableContents"/>
              <w:bidi w:val="0"/>
              <w:spacing w:before="0" w:after="283"/>
              <w:jc w:val="left"/>
              <w:rPr/>
            </w:pPr>
            <w:r>
              <w:rPr/>
              <w:t> </w:t>
            </w:r>
          </w:p>
        </w:tc>
        <w:tc>
          <w:tcPr>
            <w:tcW w:w="60" w:type="dxa"/>
            <w:tcBorders>
              <w:bottom w:val="single" w:sz="6" w:space="0" w:color="B99C16"/>
            </w:tcBorders>
            <w:tcMar>
              <w:bottom w:w="28" w:type="dxa"/>
            </w:tcMar>
            <w:vAlign w:val="center"/>
          </w:tcPr>
          <w:p>
            <w:pPr>
              <w:pStyle w:val="TableContents"/>
              <w:bidi w:val="0"/>
              <w:spacing w:before="0" w:after="283"/>
              <w:jc w:val="left"/>
              <w:rPr/>
            </w:pPr>
            <w:r>
              <w:rPr/>
              <w:t> </w:t>
            </w:r>
          </w:p>
        </w:tc>
        <w:tc>
          <w:tcPr>
            <w:tcW w:w="384" w:type="dxa"/>
            <w:tcBorders>
              <w:bottom w:val="single" w:sz="6" w:space="0" w:color="B99C16"/>
            </w:tcBorders>
            <w:tcMar>
              <w:bottom w:w="80" w:type="dxa"/>
            </w:tcMar>
            <w:vAlign w:val="center"/>
          </w:tcPr>
          <w:p>
            <w:pPr>
              <w:pStyle w:val="TableContents"/>
              <w:bidi w:val="0"/>
              <w:spacing w:before="0" w:after="283"/>
              <w:jc w:val="left"/>
              <w:rPr/>
            </w:pPr>
            <w:r>
              <w:rPr/>
              <w:t> </w:t>
            </w:r>
          </w:p>
        </w:tc>
        <w:tc>
          <w:tcPr>
            <w:tcW w:w="1376" w:type="dxa"/>
            <w:tcBorders>
              <w:bottom w:val="single" w:sz="6" w:space="0" w:color="B99C16"/>
            </w:tcBorders>
            <w:tcMar>
              <w:bottom w:w="80" w:type="dxa"/>
            </w:tcMar>
            <w:vAlign w:val="center"/>
          </w:tcPr>
          <w:p>
            <w:pPr>
              <w:pStyle w:val="TableContents"/>
              <w:bidi w:val="0"/>
              <w:spacing w:before="0" w:after="283"/>
              <w:jc w:val="right"/>
              <w:rPr/>
            </w:pPr>
            <w:r>
              <w:rPr/>
              <w:t>-0-</w:t>
            </w:r>
          </w:p>
        </w:tc>
        <w:tc>
          <w:tcPr>
            <w:tcW w:w="60"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10" w:type="dxa"/>
            <w:tcBorders>
              <w:bottom w:val="single" w:sz="6" w:space="0" w:color="B99C16"/>
            </w:tcBorders>
            <w:tcMar>
              <w:bottom w:w="80" w:type="dxa"/>
            </w:tcMar>
            <w:vAlign w:val="center"/>
          </w:tcPr>
          <w:p>
            <w:pPr>
              <w:pStyle w:val="TableContents"/>
              <w:bidi w:val="0"/>
              <w:spacing w:before="0" w:after="283"/>
              <w:jc w:val="left"/>
              <w:rPr/>
            </w:pPr>
            <w:r>
              <w:rPr/>
              <w:t> </w:t>
            </w:r>
          </w:p>
        </w:tc>
        <w:tc>
          <w:tcPr>
            <w:tcW w:w="1800" w:type="dxa"/>
            <w:tcBorders>
              <w:bottom w:val="single" w:sz="6" w:space="0" w:color="B99C16"/>
            </w:tcBorders>
            <w:tcMar>
              <w:bottom w:w="80" w:type="dxa"/>
            </w:tcMar>
            <w:vAlign w:val="center"/>
          </w:tcPr>
          <w:p>
            <w:pPr>
              <w:pStyle w:val="TableContents"/>
              <w:bidi w:val="0"/>
              <w:spacing w:before="0" w:after="283"/>
              <w:jc w:val="right"/>
              <w:rPr/>
            </w:pPr>
            <w:r>
              <w:rPr/>
              <w:t>3,054,205</w:t>
            </w:r>
          </w:p>
        </w:tc>
        <w:tc>
          <w:tcPr>
            <w:tcW w:w="288" w:type="dxa"/>
            <w:tcBorders>
              <w:bottom w:val="single" w:sz="6" w:space="0" w:color="B99C16"/>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arial" w:hAnsi="arial"/>
                <w:sz w:val="20"/>
              </w:rPr>
            </w:pPr>
            <w:r>
              <w:rPr>
                <w:rFonts w:ascii="arial" w:hAnsi="arial"/>
                <w:sz w:val="20"/>
              </w:rPr>
              <w:t xml:space="preserve">This table provides information, as of December 31, 2025, about CHDN Common Stock that may be issued upon the exercise of options and settlement of other equity awards under all compensation plans under which equity securities are reserved for issuance.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arial" w:hAnsi="arial"/>
                <w:sz w:val="20"/>
              </w:rPr>
            </w:pPr>
            <w:r>
              <w:rPr>
                <w:rFonts w:ascii="arial" w:hAnsi="arial"/>
                <w:sz w:val="20"/>
              </w:rPr>
              <w:t xml:space="preserve">The equity compensation plans of the Company which have been approved by the shareholders of the Company and pursuant to which equity securities are authorized for issuance are the Churchill Downs Incorporated 2000 Employee Stock Purchase Plan (“Stock Purchase Plan”), the 2016 Plan, and the 2025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arial" w:hAnsi="arial"/>
                <w:sz w:val="20"/>
              </w:rPr>
            </w:pPr>
            <w:r>
              <w:rPr>
                <w:rFonts w:ascii="arial" w:hAnsi="arial"/>
                <w:sz w:val="20"/>
              </w:rPr>
              <w:t xml:space="preserve">Includes 150,224 PSUs and 232,769 RSUs that were outstanding on December 31, 2025 under the 2016 Plan and the 2025 Plan. For purposes of this table, we have included the number of shares issuable under outstanding PSUs assuming performance targets are achieved. Please see the CD&amp;A for further information regarding the 2025 PSUs, including performance metrics applicable to such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(4)</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Because each participant in the Stock Purchase Plan has one option each plan year and that option consists of the number of shares which can be purchased, through exercise, at the end of the plan year using compensation deductions made throughout the plan year, no outstanding options, warrants or rights for a specific number of the Company’s securities to be issued upon exercise existed at December 31, 2025 and, therefore, none are included in this total for the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(5)</w:t>
            </w:r>
          </w:p>
        </w:tc>
        <w:tc>
          <w:tcPr>
            <w:tcW w:w="9958" w:type="dxa"/>
            <w:tcBorders/>
            <w:vAlign w:val="center"/>
          </w:tcPr>
          <w:p>
            <w:pPr>
              <w:pStyle w:val="TableContents"/>
              <w:bidi w:val="0"/>
              <w:spacing w:before="0" w:after="0"/>
              <w:jc w:val="left"/>
              <w:rPr>
                <w:rFonts w:ascii="arial" w:hAnsi="arial"/>
                <w:sz w:val="20"/>
              </w:rPr>
            </w:pPr>
            <w:r>
              <w:rPr>
                <w:rFonts w:ascii="arial" w:hAnsi="arial"/>
                <w:sz w:val="20"/>
              </w:rPr>
              <w:t xml:space="preserve">Of this total, as of December 31, 2025, 941,294 shares of Common Stock of the Company remained available for future issuance under the Stock Purchase Plan and 2,112,911 shares of Common Stock of the Company remained available for future issuance under the 2025 Plan. Stock awards under the 2025 Plan will be counted against the maximum number of shares as to which stock awards may be granted on a ratio of 1-to-1. </w:t>
            </w:r>
          </w:p>
        </w:tc>
      </w:tr>
    </w:tbl>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58</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0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1" descr=""/>
                          <pic:cNvPicPr>
                            <a:picLocks noChangeAspect="1" noChangeArrowheads="1"/>
                          </pic:cNvPicPr>
                        </pic:nvPicPr>
                        <pic:blipFill>
                          <a:blip r:embed="rId102"/>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Certain Relationships and Related Transactions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77" w:name="toc123994_68"/>
            <w:bookmarkEnd w:id="77"/>
            <w:r>
              <w:rPr>
                <w:rFonts w:ascii="arial" w:hAnsi="arial"/>
                <w:b/>
                <w:color w:val="004876"/>
                <w:sz w:val="48"/>
              </w:rPr>
              <w:t>CERTAIN RELATIONSHIPS AND RELATED TRANSACTIONS</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The Company has adopted written policies and procedures for identifying and approving or ratifying related person transactions. The policies and procedures cover all related person transactions required to be disclosed under Item 404(a) of Regulation S-K. The Audit Committee is responsible for applying the policies and procedures. In evaluating related person transactions, the Audit Committee considers all factors it deems appropriate, including without limitation, whether the related person transaction is on terms no less favorable than terms generally available to an unaffiliated third party under the same or similar circumstances, the extent of the related person’s interest in the transaction, and whether products or services of a similar nature, quantity, or quality are readily available from alternative sources. </w:t>
      </w:r>
    </w:p>
    <w:p>
      <w:pPr>
        <w:pStyle w:val="TextBody"/>
        <w:bidi w:val="0"/>
        <w:spacing w:before="240" w:after="0"/>
        <w:jc w:val="left"/>
        <w:rPr>
          <w:rFonts w:ascii="arial" w:hAnsi="arial"/>
          <w:sz w:val="20"/>
        </w:rPr>
      </w:pPr>
      <w:r>
        <w:rPr>
          <w:rFonts w:ascii="arial" w:hAnsi="arial"/>
          <w:sz w:val="20"/>
        </w:rPr>
        <w:t xml:space="preserve">Directors of the Company may from time to time own or have interests in horses racing at the Company’s tracks. All such races are conducted, as applicable, under the regulations of the Kentucky Horse Racing Commission, the Louisiana State Racing Commission, the Ohio State Racing Commission, the Maryland Racing Commission, the Virginia Racing Commission, and the Pennsylvania State Horse Racing Commission, and no director receives any extra or special benefit with regard to having his or her horses selected to run in races or in connection with the actual running of races. </w:t>
      </w:r>
    </w:p>
    <w:p>
      <w:pPr>
        <w:pStyle w:val="TextBody"/>
        <w:bidi w:val="0"/>
        <w:spacing w:before="240" w:after="0"/>
        <w:jc w:val="left"/>
        <w:rPr>
          <w:rFonts w:ascii="arial" w:hAnsi="arial"/>
          <w:sz w:val="20"/>
        </w:rPr>
      </w:pPr>
      <w:r>
        <w:rPr>
          <w:rFonts w:ascii="arial" w:hAnsi="arial"/>
          <w:sz w:val="20"/>
        </w:rPr>
        <w:t xml:space="preserve">In its ordinary course of business, the Company may enter into transactions with certain of its officers and directors for the sale of personal seat licenses and suite accommodations at its racetracks, and tickets for its live racing events. The Company believes that each such transaction has been on terms no less favorable for the Company than could have been obtained in a transaction with a third party and no such person received any extra or special benefit in connection with such transactions. </w:t>
      </w:r>
    </w:p>
    <w:p>
      <w:pPr>
        <w:pStyle w:val="TextBody"/>
        <w:bidi w:val="0"/>
        <w:spacing w:before="240" w:after="0"/>
        <w:jc w:val="left"/>
        <w:rPr>
          <w:rFonts w:ascii="arial" w:hAnsi="arial"/>
          <w:sz w:val="20"/>
        </w:rPr>
      </w:pPr>
      <w:r>
        <w:rPr>
          <w:rFonts w:ascii="arial" w:hAnsi="arial"/>
          <w:sz w:val="20"/>
        </w:rPr>
        <w:t xml:space="preserve">Since January 1, 2025, no transaction was identified as a related party transaction.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0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2" descr=""/>
                          <pic:cNvPicPr>
                            <a:picLocks noChangeAspect="1" noChangeArrowheads="1"/>
                          </pic:cNvPicPr>
                        </pic:nvPicPr>
                        <pic:blipFill>
                          <a:blip r:embed="rId103"/>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59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Delinquent Section 16(a) Reports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9321" w:type="dxa"/>
        <w:jc w:val="left"/>
        <w:tblInd w:w="0" w:type="dxa"/>
        <w:tblLayout w:type="fixed"/>
        <w:tblCellMar>
          <w:top w:w="0" w:type="dxa"/>
          <w:left w:w="0" w:type="dxa"/>
          <w:bottom w:w="0" w:type="dxa"/>
          <w:right w:w="0" w:type="dxa"/>
        </w:tblCellMar>
      </w:tblPr>
      <w:tblGrid>
        <w:gridCol w:w="75"/>
        <w:gridCol w:w="23"/>
        <w:gridCol w:w="23"/>
        <w:gridCol w:w="60"/>
        <w:gridCol w:w="9140"/>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40"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arial" w:hAnsi="arial"/>
                <w:b/>
                <w:color w:val="004876"/>
                <w:sz w:val="48"/>
              </w:rPr>
            </w:pPr>
            <w:bookmarkStart w:id="78" w:name="toc123994_69"/>
            <w:bookmarkEnd w:id="78"/>
            <w:r>
              <w:rPr>
                <w:rFonts w:ascii="arial" w:hAnsi="arial"/>
                <w:b/>
                <w:color w:val="004876"/>
                <w:sz w:val="48"/>
              </w:rPr>
              <w:t>DELINQUENT SECTION 16(a) REPORTS</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Section 16(a) of the Exchange Act requires that the Company’s directors, executive officers and persons who beneficially own more than ten percent (10%) of the Company’s Common Stock file certain reports with the SEC with regard to their beneficial ownership of the Common Stock. The Company is required to disclose in this Proxy Statement any failure to file or late filings of such reports. Based solely on our review of the forms filed with the SEC or written representations from certain reporting persons received by us, we believe that our directors, officers and persons who own more than ten percent (10%) of the Company’s Common Stock have complied with all applicable filing requirements.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60</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0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3" descr=""/>
                          <pic:cNvPicPr>
                            <a:picLocks noChangeAspect="1" noChangeArrowheads="1"/>
                          </pic:cNvPicPr>
                        </pic:nvPicPr>
                        <pic:blipFill>
                          <a:blip r:embed="rId104"/>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Multiple Shareholders Sharing the Same Address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23"/>
        <w:gridCol w:w="60"/>
        <w:gridCol w:w="10024"/>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4"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24" w:type="dxa"/>
            <w:tcBorders/>
            <w:vAlign w:val="center"/>
          </w:tcPr>
          <w:p>
            <w:pPr>
              <w:pStyle w:val="TableContents"/>
              <w:bidi w:val="0"/>
              <w:spacing w:before="0" w:after="0"/>
              <w:jc w:val="left"/>
              <w:rPr>
                <w:rFonts w:ascii="arial" w:hAnsi="arial"/>
                <w:b/>
                <w:color w:val="004876"/>
                <w:sz w:val="48"/>
              </w:rPr>
            </w:pPr>
            <w:bookmarkStart w:id="79" w:name="toc123994_70"/>
            <w:bookmarkEnd w:id="79"/>
            <w:r>
              <w:rPr>
                <w:rFonts w:ascii="arial" w:hAnsi="arial"/>
                <w:b/>
                <w:color w:val="004876"/>
                <w:sz w:val="48"/>
              </w:rPr>
              <w:t>MULTIPLE SHAREHOLDERS SHARING THE SAME ADDRESS</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The SEC has adopted rules that permit companies and intermediaries (e.g., brokers) to satisfy the delivery requirements for proxy statements with respect to two or more shareholders sharing the same address by delivering a single Proxy Statement or Notice addressed to those shareholders. This process, which is commonly referred to as “householding,” potentially means extra convenience for shareholders and cost savings for companies. </w:t>
      </w:r>
    </w:p>
    <w:p>
      <w:pPr>
        <w:pStyle w:val="TextBody"/>
        <w:bidi w:val="0"/>
        <w:spacing w:before="240" w:after="0"/>
        <w:jc w:val="left"/>
        <w:rPr>
          <w:rFonts w:ascii="arial" w:hAnsi="arial"/>
          <w:sz w:val="20"/>
        </w:rPr>
      </w:pPr>
      <w:r>
        <w:rPr>
          <w:rFonts w:ascii="arial" w:hAnsi="arial"/>
          <w:sz w:val="20"/>
        </w:rPr>
        <w:t xml:space="preserve">At this time, one or more brokers with accountholders who are Company shareholders will be “householding” our proxy materials. A single Proxy Statement or Notice will be delivered to multiple shareholders sharing an address unless contrary instructions have been received from the affected shareholder.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or Notice, please notify your broker. You may direct your written request for a copy of the Proxy Statement or Notice to Churchill Downs Incorporated, Attn: Joseph Quinn, 600 N. Hurstbourne Parkway, Ste. 400, Louisville, Kentucky 40222, or at (502) 636-4400. If your broker is not currently “householding” (i.e., you received multiple copies of the Company’s Proxy Statement or Notice), and you would like to request delivery of a single copy, you should contact your broker.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1835"/>
        <w:gridCol w:w="60"/>
        <w:gridCol w:w="2638"/>
        <w:gridCol w:w="60"/>
        <w:gridCol w:w="24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0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4" descr=""/>
                          <pic:cNvPicPr>
                            <a:picLocks noChangeAspect="1" noChangeArrowheads="1"/>
                          </pic:cNvPicPr>
                        </pic:nvPicPr>
                        <pic:blipFill>
                          <a:blip r:embed="rId105"/>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61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Proposals by Shareholders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8151" w:type="dxa"/>
        <w:jc w:val="left"/>
        <w:tblInd w:w="0" w:type="dxa"/>
        <w:tblLayout w:type="fixed"/>
        <w:tblCellMar>
          <w:top w:w="0" w:type="dxa"/>
          <w:left w:w="0" w:type="dxa"/>
          <w:bottom w:w="0" w:type="dxa"/>
          <w:right w:w="0" w:type="dxa"/>
        </w:tblCellMar>
      </w:tblPr>
      <w:tblGrid>
        <w:gridCol w:w="75"/>
        <w:gridCol w:w="23"/>
        <w:gridCol w:w="23"/>
        <w:gridCol w:w="60"/>
        <w:gridCol w:w="7970"/>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70"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arial" w:hAnsi="arial"/>
                <w:b/>
                <w:color w:val="004876"/>
                <w:sz w:val="48"/>
              </w:rPr>
            </w:pPr>
            <w:bookmarkStart w:id="80" w:name="toc123994_71"/>
            <w:bookmarkEnd w:id="80"/>
            <w:r>
              <w:rPr>
                <w:rFonts w:ascii="arial" w:hAnsi="arial"/>
                <w:b/>
                <w:color w:val="004876"/>
                <w:sz w:val="48"/>
              </w:rPr>
              <w:t>PROPOSALS BY SHAREHOLDERS</w:t>
            </w:r>
          </w:p>
          <w:p>
            <w:pPr>
              <w:pStyle w:val="TableContents"/>
              <w:bidi w:val="0"/>
              <w:spacing w:before="0" w:after="20"/>
              <w:jc w:val="left"/>
              <w:rPr/>
            </w:pPr>
            <w:r>
              <w:rPr/>
              <w:t> </w:t>
            </w:r>
          </w:p>
        </w:tc>
      </w:tr>
    </w:tbl>
    <w:p>
      <w:pPr>
        <w:pStyle w:val="TextBody"/>
        <w:bidi w:val="0"/>
        <w:spacing w:before="480" w:after="0"/>
        <w:jc w:val="left"/>
        <w:rPr>
          <w:rFonts w:ascii="arial" w:hAnsi="arial"/>
          <w:sz w:val="20"/>
        </w:rPr>
      </w:pPr>
      <w:r>
        <w:rPr>
          <w:rFonts w:ascii="arial" w:hAnsi="arial"/>
          <w:sz w:val="20"/>
        </w:rPr>
        <w:t xml:space="preserve">Any shareholder proposal that may be included in the Board of Directors’ Proxy Statement and proxy for presentation at the annual meeting of shareholders to be held in 2027 must be received by the Company at the principal executive office at 600 N. Hurstbourne Parkway, Ste. 400, Louisville, Kentucky 40222, Attention of the Secretary, no later than November 12, 2026. Pursuant to the Company’s Amended and Restated Bylaws, proposals of shareholders intended to be presented at the Company’s 2027 annual meeting of shareholders, but not included in the Proxy Statement, must be received by the Company at the principal executive offices of the Company not less than 90 nor more than 120 days prior to the anniversary date of the immediately preceding annual meeting of shareholders. Accordingly, any shareholder proposals intended to be presented at the 2027 annual meeting of shareholders of the Company must be received in writing by the Company at its principal executive offices no later than January 21, 2027, and no sooner than December 22, 2026 and otherwise comply with the requirements set forth in the Company’s Amended and Restated Bylaws. Any proposal submitted before or after those dates will be considered untimely, and the Chairman shall declare that the business is not properly brought before the meeting and such business shall not be transacted at the annual meeting. In addition to satisfying the foregoing requirements under the Company’s Amended and Restated Bylaws, shareholders who intend to solicit proxies in support of director nominees other than the management’s nominees at the Company’s 2027 annual meeting of shareholders must provide notice that sets forth the information required by Rule 14a-19 under the Exchange Act no later than February 22, 2027. </w:t>
      </w:r>
    </w:p>
    <w:p>
      <w:pPr>
        <w:pStyle w:val="TextBody"/>
        <w:bidi w:val="0"/>
        <w:spacing w:before="0" w:after="0"/>
        <w:jc w:val="left"/>
        <w:rPr/>
      </w:pPr>
      <w:r>
        <w:rPr/>
        <w:t> </w:t>
      </w:r>
    </w:p>
    <w:tbl>
      <w:tblPr>
        <w:tblW w:w="4340" w:type="dxa"/>
        <w:jc w:val="left"/>
        <w:tblInd w:w="0" w:type="dxa"/>
        <w:tblLayout w:type="fixed"/>
        <w:tblCellMar>
          <w:top w:w="0" w:type="dxa"/>
          <w:left w:w="0" w:type="dxa"/>
          <w:bottom w:w="0" w:type="dxa"/>
          <w:right w:w="0" w:type="dxa"/>
        </w:tblCellMar>
      </w:tblPr>
      <w:tblGrid>
        <w:gridCol w:w="4340"/>
      </w:tblGrid>
      <w:tr>
        <w:trPr/>
        <w:tc>
          <w:tcPr>
            <w:tcW w:w="4340" w:type="dxa"/>
            <w:tcBorders/>
            <w:vAlign w:val="center"/>
          </w:tcPr>
          <w:p>
            <w:pPr>
              <w:pStyle w:val="TableContents"/>
              <w:bidi w:val="0"/>
              <w:spacing w:before="0" w:after="283"/>
              <w:jc w:val="left"/>
              <w:rPr>
                <w:sz w:val="4"/>
                <w:szCs w:val="4"/>
              </w:rPr>
            </w:pPr>
            <w:r>
              <w:rPr>
                <w:sz w:val="4"/>
                <w:szCs w:val="4"/>
              </w:rPr>
            </w:r>
          </w:p>
        </w:tc>
      </w:tr>
      <w:tr>
        <w:trPr/>
        <w:tc>
          <w:tcPr>
            <w:tcW w:w="4340" w:type="dxa"/>
            <w:tcBorders/>
            <w:vAlign w:val="center"/>
          </w:tcPr>
          <w:p>
            <w:pPr>
              <w:pStyle w:val="TableContents"/>
              <w:bidi w:val="0"/>
              <w:spacing w:before="0" w:after="283"/>
              <w:jc w:val="left"/>
              <w:rPr/>
            </w:pPr>
            <w:r>
              <w:rPr/>
              <w:t>    </w:t>
            </w:r>
            <w:r>
              <w:rPr/>
              <w:t>By Order of the Board of Directors</w:t>
            </w:r>
          </w:p>
        </w:tc>
      </w:tr>
      <w:tr>
        <w:trPr/>
        <w:tc>
          <w:tcPr>
            <w:tcW w:w="4340" w:type="dxa"/>
            <w:tcBorders/>
            <w:vAlign w:val="center"/>
          </w:tcPr>
          <w:p>
            <w:pPr>
              <w:pStyle w:val="TableContents"/>
              <w:bidi w:val="0"/>
              <w:spacing w:before="0" w:after="283"/>
              <w:jc w:val="left"/>
              <w:rPr>
                <w:sz w:val="4"/>
                <w:szCs w:val="4"/>
              </w:rPr>
            </w:pPr>
            <w:r>
              <w:rPr>
                <w:sz w:val="4"/>
                <w:szCs w:val="4"/>
              </w:rPr>
            </w:r>
          </w:p>
        </w:tc>
      </w:tr>
      <w:tr>
        <w:trPr/>
        <w:tc>
          <w:tcPr>
            <w:tcW w:w="4340" w:type="dxa"/>
            <w:tcBorders/>
            <w:vAlign w:val="center"/>
          </w:tcPr>
          <w:p>
            <w:pPr>
              <w:pStyle w:val="TableContents"/>
              <w:bidi w:val="0"/>
              <w:spacing w:before="0" w:after="283"/>
              <w:jc w:val="left"/>
              <w:rPr/>
            </w:pPr>
            <w:r>
              <w:rPr/>
              <w:t>    </w:t>
            </w:r>
            <w:r>
              <w:rPr>
                <w:b/>
              </w:rPr>
              <w:t>R. ALEX RANKIN</w:t>
            </w:r>
          </w:p>
        </w:tc>
      </w:tr>
      <w:tr>
        <w:trPr/>
        <w:tc>
          <w:tcPr>
            <w:tcW w:w="4340" w:type="dxa"/>
            <w:tcBorders/>
            <w:vAlign w:val="center"/>
          </w:tcPr>
          <w:p>
            <w:pPr>
              <w:pStyle w:val="TableContents"/>
              <w:bidi w:val="0"/>
              <w:spacing w:before="0" w:after="283"/>
              <w:jc w:val="left"/>
              <w:rPr/>
            </w:pPr>
            <w:r>
              <w:rPr/>
              <w:t>    </w:t>
            </w:r>
            <w:r>
              <w:rPr>
                <w:i/>
              </w:rPr>
              <w:t>Chairman</w:t>
            </w:r>
          </w:p>
        </w:tc>
      </w:tr>
      <w:tr>
        <w:trPr/>
        <w:tc>
          <w:tcPr>
            <w:tcW w:w="4340" w:type="dxa"/>
            <w:tcBorders/>
            <w:vAlign w:val="center"/>
          </w:tcPr>
          <w:p>
            <w:pPr>
              <w:pStyle w:val="TableContents"/>
              <w:bidi w:val="0"/>
              <w:spacing w:before="0" w:after="283"/>
              <w:jc w:val="left"/>
              <w:rPr/>
            </w:pPr>
            <w:r>
              <w:rPr/>
              <w:t>    </w:t>
            </w:r>
            <w:r>
              <w:rPr>
                <w:b/>
              </w:rPr>
              <w:t>BRADLEY K. BLACKWELL</w:t>
            </w:r>
          </w:p>
        </w:tc>
      </w:tr>
      <w:tr>
        <w:trPr/>
        <w:tc>
          <w:tcPr>
            <w:tcW w:w="4340" w:type="dxa"/>
            <w:tcBorders/>
            <w:vAlign w:val="center"/>
          </w:tcPr>
          <w:p>
            <w:pPr>
              <w:pStyle w:val="TableContents"/>
              <w:bidi w:val="0"/>
              <w:spacing w:before="0" w:after="283"/>
              <w:jc w:val="left"/>
              <w:rPr/>
            </w:pPr>
            <w:r>
              <w:rPr/>
              <w:t>    </w:t>
            </w:r>
            <w:r>
              <w:rPr>
                <w:i/>
              </w:rPr>
              <w:t>Executive Vice President and</w:t>
            </w:r>
          </w:p>
        </w:tc>
      </w:tr>
      <w:tr>
        <w:trPr/>
        <w:tc>
          <w:tcPr>
            <w:tcW w:w="4340" w:type="dxa"/>
            <w:tcBorders/>
            <w:vAlign w:val="center"/>
          </w:tcPr>
          <w:p>
            <w:pPr>
              <w:pStyle w:val="TableContents"/>
              <w:bidi w:val="0"/>
              <w:spacing w:before="0" w:after="283"/>
              <w:jc w:val="left"/>
              <w:rPr/>
            </w:pPr>
            <w:r>
              <w:rPr/>
              <w:t>    </w:t>
            </w:r>
            <w:r>
              <w:rPr>
                <w:i/>
              </w:rPr>
              <w:t>General Counsel,</w:t>
            </w:r>
          </w:p>
        </w:tc>
      </w:tr>
      <w:tr>
        <w:trPr/>
        <w:tc>
          <w:tcPr>
            <w:tcW w:w="4340" w:type="dxa"/>
            <w:tcBorders/>
            <w:vAlign w:val="center"/>
          </w:tcPr>
          <w:p>
            <w:pPr>
              <w:pStyle w:val="TableContents"/>
              <w:bidi w:val="0"/>
              <w:spacing w:before="0" w:after="283"/>
              <w:jc w:val="left"/>
              <w:rPr/>
            </w:pPr>
            <w:r>
              <w:rPr/>
              <w:t>    </w:t>
            </w:r>
            <w:r>
              <w:rPr>
                <w:i/>
              </w:rPr>
              <w:t>Secretary</w:t>
            </w:r>
          </w:p>
        </w:tc>
      </w:tr>
    </w:tbl>
    <w:p>
      <w:pPr>
        <w:pStyle w:val="TextBody"/>
        <w:bidi w:val="0"/>
        <w:spacing w:before="240" w:after="0"/>
        <w:jc w:val="left"/>
        <w:rPr>
          <w:rFonts w:ascii="arial" w:hAnsi="arial"/>
          <w:sz w:val="20"/>
        </w:rPr>
      </w:pPr>
      <w:r>
        <w:rPr>
          <w:rFonts w:ascii="arial" w:hAnsi="arial"/>
          <w:sz w:val="20"/>
        </w:rPr>
        <w:t xml:space="preserve">Louisville, Kentucky </w:t>
      </w:r>
    </w:p>
    <w:p>
      <w:pPr>
        <w:pStyle w:val="TextBody"/>
        <w:bidi w:val="0"/>
        <w:spacing w:before="0" w:after="0"/>
        <w:jc w:val="left"/>
        <w:rPr>
          <w:rFonts w:ascii="arial" w:hAnsi="arial"/>
          <w:sz w:val="20"/>
        </w:rPr>
      </w:pPr>
      <w:r>
        <w:rPr>
          <w:rFonts w:ascii="arial" w:hAnsi="arial"/>
          <w:sz w:val="20"/>
        </w:rPr>
        <w:t xml:space="preserve">March 12, 2026 </w:t>
      </w:r>
    </w:p>
    <w:p>
      <w:pPr>
        <w:pStyle w:val="TextBody"/>
        <w:bidi w:val="0"/>
        <w:spacing w:before="240" w:after="0"/>
        <w:jc w:val="center"/>
        <w:rPr>
          <w:rFonts w:ascii="arial" w:hAnsi="arial"/>
          <w:sz w:val="20"/>
        </w:rPr>
      </w:pPr>
      <w:r>
        <w:rPr>
          <w:rFonts w:ascii="arial" w:hAnsi="arial"/>
          <w:sz w:val="20"/>
        </w:rPr>
        <w:t xml:space="preserve">PLEASE VOTE BY TELEPHONE OR OVER THE INTERNET </w:t>
      </w:r>
    </w:p>
    <w:p>
      <w:pPr>
        <w:pStyle w:val="TextBody"/>
        <w:bidi w:val="0"/>
        <w:spacing w:before="0" w:after="0"/>
        <w:jc w:val="center"/>
        <w:rPr>
          <w:rFonts w:ascii="arial" w:hAnsi="arial"/>
          <w:sz w:val="20"/>
        </w:rPr>
      </w:pPr>
      <w:r>
        <w:rPr>
          <w:rFonts w:ascii="arial" w:hAnsi="arial"/>
          <w:sz w:val="20"/>
        </w:rPr>
        <w:t xml:space="preserve">IF YOU CANNOT ATTEND VIRTUALLY </w:t>
      </w:r>
    </w:p>
    <w:p>
      <w:pPr>
        <w:pStyle w:val="TextBody"/>
        <w:bidi w:val="0"/>
        <w:spacing w:before="0" w:after="0"/>
        <w:jc w:val="left"/>
        <w:rPr/>
      </w:pPr>
      <w:r>
        <w:rPr/>
        <w:t> </w:t>
      </w:r>
    </w:p>
    <w:tbl>
      <w:tblPr>
        <w:tblW w:w="4838" w:type="dxa"/>
        <w:jc w:val="left"/>
        <w:tblInd w:w="0" w:type="dxa"/>
        <w:tblLayout w:type="fixed"/>
        <w:tblCellMar>
          <w:top w:w="0" w:type="dxa"/>
          <w:left w:w="0" w:type="dxa"/>
          <w:bottom w:w="0" w:type="dxa"/>
          <w:right w:w="0" w:type="dxa"/>
        </w:tblCellMar>
      </w:tblPr>
      <w:tblGrid>
        <w:gridCol w:w="245"/>
        <w:gridCol w:w="60"/>
        <w:gridCol w:w="2638"/>
        <w:gridCol w:w="60"/>
        <w:gridCol w:w="18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62</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0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5" descr=""/>
                          <pic:cNvPicPr>
                            <a:picLocks noChangeAspect="1" noChangeArrowheads="1"/>
                          </pic:cNvPicPr>
                        </pic:nvPicPr>
                        <pic:blipFill>
                          <a:blip r:embed="rId106"/>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color w:val="004876"/>
          <w:sz w:val="20"/>
        </w:rPr>
      </w:pPr>
      <w:r>
        <w:rPr>
          <w:rFonts w:ascii="arial" w:hAnsi="arial"/>
          <w:b/>
          <w:color w:val="004876"/>
          <w:sz w:val="20"/>
        </w:rPr>
        <w:t xml:space="preserve">Appendix A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tbl>
      <w:tblPr>
        <w:tblW w:w="3126" w:type="dxa"/>
        <w:jc w:val="left"/>
        <w:tblInd w:w="0" w:type="dxa"/>
        <w:tblLayout w:type="fixed"/>
        <w:tblCellMar>
          <w:top w:w="0" w:type="dxa"/>
          <w:left w:w="0" w:type="dxa"/>
          <w:bottom w:w="0" w:type="dxa"/>
          <w:right w:w="0" w:type="dxa"/>
        </w:tblCellMar>
      </w:tblPr>
      <w:tblGrid>
        <w:gridCol w:w="75"/>
        <w:gridCol w:w="23"/>
        <w:gridCol w:w="23"/>
        <w:gridCol w:w="60"/>
        <w:gridCol w:w="2945"/>
      </w:tblGrid>
      <w:tr>
        <w:trPr/>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32" w:space="0" w:color="004876"/>
            </w:tcBorders>
            <w:tcMar>
              <w:left w:w="160"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rFonts w:ascii="arial" w:hAnsi="arial"/>
                <w:b/>
                <w:color w:val="004876"/>
                <w:sz w:val="48"/>
              </w:rPr>
            </w:pPr>
            <w:bookmarkStart w:id="81" w:name="toc123994_72"/>
            <w:bookmarkEnd w:id="81"/>
            <w:r>
              <w:rPr>
                <w:rFonts w:ascii="arial" w:hAnsi="arial"/>
                <w:b/>
                <w:color w:val="004876"/>
                <w:sz w:val="48"/>
              </w:rPr>
              <w:t>APPENDIX A</w:t>
            </w:r>
          </w:p>
          <w:p>
            <w:pPr>
              <w:pStyle w:val="TableContents"/>
              <w:bidi w:val="0"/>
              <w:spacing w:before="0" w:after="20"/>
              <w:jc w:val="left"/>
              <w:rPr/>
            </w:pPr>
            <w:r>
              <w:rPr/>
              <w:t> </w:t>
            </w:r>
          </w:p>
        </w:tc>
      </w:tr>
    </w:tbl>
    <w:p>
      <w:pPr>
        <w:pStyle w:val="TextBody"/>
        <w:bidi w:val="0"/>
        <w:spacing w:before="360" w:after="0"/>
        <w:jc w:val="left"/>
        <w:rPr>
          <w:rFonts w:ascii="arial" w:hAnsi="arial"/>
          <w:sz w:val="20"/>
        </w:rPr>
      </w:pPr>
      <w:r>
        <w:rPr>
          <w:rFonts w:ascii="arial" w:hAnsi="arial"/>
          <w:sz w:val="20"/>
        </w:rPr>
        <w:t xml:space="preserve">We use non-GAAP measures, including Adjusted EBITDA (earnings before interest, taxes, depreciation and amortization).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 </w:t>
      </w:r>
    </w:p>
    <w:p>
      <w:pPr>
        <w:pStyle w:val="TextBody"/>
        <w:bidi w:val="0"/>
        <w:spacing w:before="240" w:after="0"/>
        <w:jc w:val="left"/>
        <w:rPr>
          <w:rFonts w:ascii="arial" w:hAnsi="arial"/>
          <w:sz w:val="20"/>
        </w:rPr>
      </w:pPr>
      <w:r>
        <w:rPr>
          <w:rFonts w:ascii="arial" w:hAnsi="arial"/>
          <w:sz w:val="20"/>
        </w:rPr>
        <w:t xml:space="preserve">Adjusted EBITDA is defined as earnings before interest, taxes, depreciation and amortization, adjusted for the following: </w:t>
      </w:r>
    </w:p>
    <w:p>
      <w:pPr>
        <w:pStyle w:val="TextBody"/>
        <w:bidi w:val="0"/>
        <w:spacing w:before="240" w:after="0"/>
        <w:jc w:val="left"/>
        <w:rPr>
          <w:rFonts w:ascii="arial" w:hAnsi="arial"/>
          <w:sz w:val="20"/>
        </w:rPr>
      </w:pPr>
      <w:r>
        <w:rPr>
          <w:rFonts w:ascii="arial" w:hAnsi="arial"/>
          <w:sz w:val="20"/>
        </w:rPr>
        <w:t xml:space="preserve">Adjusted EBITDA includes our portion of EBITDA from our equity investments and the portion of EBITDA attributable to noncontrolling interests. </w:t>
      </w:r>
    </w:p>
    <w:p>
      <w:pPr>
        <w:pStyle w:val="TextBody"/>
        <w:bidi w:val="0"/>
        <w:spacing w:before="240" w:after="0"/>
        <w:jc w:val="left"/>
        <w:rPr>
          <w:rFonts w:ascii="arial" w:hAnsi="arial"/>
          <w:sz w:val="20"/>
        </w:rPr>
      </w:pPr>
      <w:r>
        <w:rPr>
          <w:rFonts w:ascii="arial" w:hAnsi="arial"/>
          <w:sz w:val="20"/>
        </w:rPr>
        <w:t xml:space="preserve">Adjusted EBITDA excludes: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185"/>
        <w:gridCol w:w="3695"/>
      </w:tblGrid>
      <w:tr>
        <w:trPr/>
        <w:tc>
          <w:tcPr>
            <w:tcW w:w="185" w:type="dxa"/>
            <w:tcBorders/>
            <w:vAlign w:val="center"/>
          </w:tcPr>
          <w:p>
            <w:pPr>
              <w:pStyle w:val="TableContents"/>
              <w:bidi w:val="0"/>
              <w:spacing w:before="0" w:after="283"/>
              <w:jc w:val="left"/>
              <w:rPr>
                <w:color w:val="004876"/>
              </w:rPr>
            </w:pPr>
            <w:r>
              <w:rPr>
                <w:color w:val="004876"/>
              </w:rPr>
              <w:t>●</w:t>
            </w:r>
          </w:p>
        </w:tc>
        <w:tc>
          <w:tcPr>
            <w:tcW w:w="3695" w:type="dxa"/>
            <w:tcBorders/>
            <w:vAlign w:val="center"/>
          </w:tcPr>
          <w:p>
            <w:pPr>
              <w:pStyle w:val="TableContents"/>
              <w:bidi w:val="0"/>
              <w:spacing w:before="0" w:after="0"/>
              <w:jc w:val="left"/>
              <w:rPr>
                <w:rFonts w:ascii="arial" w:hAnsi="arial"/>
                <w:sz w:val="20"/>
              </w:rPr>
            </w:pPr>
            <w:r>
              <w:rPr>
                <w:rFonts w:ascii="arial" w:hAnsi="arial"/>
                <w:sz w:val="20"/>
              </w:rPr>
              <w:t xml:space="preserve">Transaction expense, net which includes: </w:t>
            </w:r>
          </w:p>
        </w:tc>
      </w:tr>
    </w:tbl>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140"/>
        <w:gridCol w:w="555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0"/>
              <w:jc w:val="left"/>
              <w:rPr>
                <w:rFonts w:ascii="arial" w:hAnsi="arial"/>
                <w:sz w:val="20"/>
              </w:rPr>
            </w:pPr>
            <w:r>
              <w:rPr>
                <w:rFonts w:ascii="arial" w:hAnsi="arial"/>
                <w:sz w:val="20"/>
              </w:rPr>
              <w:t xml:space="preserve">Acquisition, disposition, and property sale related charges; and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40"/>
        <w:gridCol w:w="765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0"/>
              <w:jc w:val="left"/>
              <w:rPr>
                <w:rFonts w:ascii="arial" w:hAnsi="arial"/>
                <w:sz w:val="20"/>
              </w:rPr>
            </w:pPr>
            <w:r>
              <w:rPr>
                <w:rFonts w:ascii="arial" w:hAnsi="arial"/>
                <w:sz w:val="20"/>
              </w:rPr>
              <w:t xml:space="preserve">Other transaction expense, including legal, accounting, and other deal-related expense;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85"/>
        <w:gridCol w:w="3320"/>
      </w:tblGrid>
      <w:tr>
        <w:trPr/>
        <w:tc>
          <w:tcPr>
            <w:tcW w:w="185" w:type="dxa"/>
            <w:tcBorders/>
            <w:vAlign w:val="center"/>
          </w:tcPr>
          <w:p>
            <w:pPr>
              <w:pStyle w:val="TableContents"/>
              <w:bidi w:val="0"/>
              <w:spacing w:before="0" w:after="283"/>
              <w:jc w:val="left"/>
              <w:rPr>
                <w:color w:val="004876"/>
              </w:rPr>
            </w:pPr>
            <w:r>
              <w:rPr>
                <w:color w:val="004876"/>
              </w:rPr>
              <w:t>●</w:t>
            </w:r>
          </w:p>
        </w:tc>
        <w:tc>
          <w:tcPr>
            <w:tcW w:w="3320" w:type="dxa"/>
            <w:tcBorders/>
            <w:vAlign w:val="center"/>
          </w:tcPr>
          <w:p>
            <w:pPr>
              <w:pStyle w:val="TableContents"/>
              <w:bidi w:val="0"/>
              <w:spacing w:before="0" w:after="0"/>
              <w:jc w:val="left"/>
              <w:rPr>
                <w:rFonts w:ascii="arial" w:hAnsi="arial"/>
                <w:sz w:val="20"/>
              </w:rPr>
            </w:pPr>
            <w:r>
              <w:rPr>
                <w:rFonts w:ascii="arial" w:hAnsi="arial"/>
                <w:sz w:val="20"/>
              </w:rPr>
              <w:t xml:space="preserve">Stock-based compensation expense;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4876"/>
              </w:rPr>
            </w:pPr>
            <w:r>
              <w:rPr>
                <w:color w:val="004876"/>
              </w:rPr>
              <w:t>●</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Rivers Des Plaines’ impact on our investments in unconsolidated affiliates from legal reserves, and transaction costs; </w:t>
            </w:r>
          </w:p>
        </w:tc>
      </w:tr>
    </w:tbl>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185"/>
        <w:gridCol w:w="2180"/>
      </w:tblGrid>
      <w:tr>
        <w:trPr/>
        <w:tc>
          <w:tcPr>
            <w:tcW w:w="185" w:type="dxa"/>
            <w:tcBorders/>
            <w:vAlign w:val="center"/>
          </w:tcPr>
          <w:p>
            <w:pPr>
              <w:pStyle w:val="TableContents"/>
              <w:bidi w:val="0"/>
              <w:spacing w:before="0" w:after="283"/>
              <w:jc w:val="left"/>
              <w:rPr>
                <w:color w:val="004876"/>
              </w:rPr>
            </w:pPr>
            <w:r>
              <w:rPr>
                <w:color w:val="004876"/>
              </w:rPr>
              <w:t>●</w:t>
            </w:r>
          </w:p>
        </w:tc>
        <w:tc>
          <w:tcPr>
            <w:tcW w:w="2180" w:type="dxa"/>
            <w:tcBorders/>
            <w:vAlign w:val="center"/>
          </w:tcPr>
          <w:p>
            <w:pPr>
              <w:pStyle w:val="TableContents"/>
              <w:bidi w:val="0"/>
              <w:spacing w:before="0" w:after="0"/>
              <w:jc w:val="left"/>
              <w:rPr>
                <w:rFonts w:ascii="arial" w:hAnsi="arial"/>
                <w:sz w:val="20"/>
              </w:rPr>
            </w:pPr>
            <w:r>
              <w:rPr>
                <w:rFonts w:ascii="arial" w:hAnsi="arial"/>
                <w:sz w:val="20"/>
              </w:rPr>
              <w:t xml:space="preserve">Asset impairments, net; </w:t>
            </w:r>
          </w:p>
        </w:tc>
      </w:tr>
    </w:tbl>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185"/>
        <w:gridCol w:w="2120"/>
      </w:tblGrid>
      <w:tr>
        <w:trPr/>
        <w:tc>
          <w:tcPr>
            <w:tcW w:w="185" w:type="dxa"/>
            <w:tcBorders/>
            <w:vAlign w:val="center"/>
          </w:tcPr>
          <w:p>
            <w:pPr>
              <w:pStyle w:val="TableContents"/>
              <w:bidi w:val="0"/>
              <w:spacing w:before="0" w:after="283"/>
              <w:jc w:val="left"/>
              <w:rPr>
                <w:color w:val="004876"/>
              </w:rPr>
            </w:pPr>
            <w:r>
              <w:rPr>
                <w:color w:val="004876"/>
              </w:rPr>
              <w:t>●</w:t>
            </w:r>
          </w:p>
        </w:tc>
        <w:tc>
          <w:tcPr>
            <w:tcW w:w="2120" w:type="dxa"/>
            <w:tcBorders/>
            <w:vAlign w:val="center"/>
          </w:tcPr>
          <w:p>
            <w:pPr>
              <w:pStyle w:val="TableContents"/>
              <w:bidi w:val="0"/>
              <w:spacing w:before="0" w:after="0"/>
              <w:jc w:val="left"/>
              <w:rPr>
                <w:rFonts w:ascii="arial" w:hAnsi="arial"/>
                <w:sz w:val="20"/>
              </w:rPr>
            </w:pPr>
            <w:r>
              <w:rPr>
                <w:rFonts w:ascii="arial" w:hAnsi="arial"/>
                <w:sz w:val="20"/>
              </w:rPr>
              <w:t xml:space="preserve">Gain on property sales;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185"/>
        <w:gridCol w:w="1430"/>
      </w:tblGrid>
      <w:tr>
        <w:trPr/>
        <w:tc>
          <w:tcPr>
            <w:tcW w:w="185" w:type="dxa"/>
            <w:tcBorders/>
            <w:vAlign w:val="center"/>
          </w:tcPr>
          <w:p>
            <w:pPr>
              <w:pStyle w:val="TableContents"/>
              <w:bidi w:val="0"/>
              <w:spacing w:before="0" w:after="283"/>
              <w:jc w:val="left"/>
              <w:rPr>
                <w:color w:val="004876"/>
              </w:rPr>
            </w:pPr>
            <w:r>
              <w:rPr>
                <w:color w:val="004876"/>
              </w:rPr>
              <w:t>●</w:t>
            </w:r>
          </w:p>
        </w:tc>
        <w:tc>
          <w:tcPr>
            <w:tcW w:w="1430" w:type="dxa"/>
            <w:tcBorders/>
            <w:vAlign w:val="center"/>
          </w:tcPr>
          <w:p>
            <w:pPr>
              <w:pStyle w:val="TableContents"/>
              <w:bidi w:val="0"/>
              <w:spacing w:before="0" w:after="0"/>
              <w:jc w:val="left"/>
              <w:rPr>
                <w:rFonts w:ascii="arial" w:hAnsi="arial"/>
                <w:sz w:val="20"/>
              </w:rPr>
            </w:pPr>
            <w:r>
              <w:rPr>
                <w:rFonts w:ascii="arial" w:hAnsi="arial"/>
                <w:sz w:val="20"/>
              </w:rPr>
              <w:t xml:space="preserve">Legal reserves; </w:t>
            </w:r>
          </w:p>
        </w:tc>
      </w:tr>
    </w:tbl>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185"/>
        <w:gridCol w:w="2360"/>
      </w:tblGrid>
      <w:tr>
        <w:trPr/>
        <w:tc>
          <w:tcPr>
            <w:tcW w:w="185" w:type="dxa"/>
            <w:tcBorders/>
            <w:vAlign w:val="center"/>
          </w:tcPr>
          <w:p>
            <w:pPr>
              <w:pStyle w:val="TableContents"/>
              <w:bidi w:val="0"/>
              <w:spacing w:before="0" w:after="283"/>
              <w:jc w:val="left"/>
              <w:rPr>
                <w:color w:val="004876"/>
              </w:rPr>
            </w:pPr>
            <w:r>
              <w:rPr>
                <w:color w:val="004876"/>
              </w:rPr>
              <w:t>●</w:t>
            </w:r>
          </w:p>
        </w:tc>
        <w:tc>
          <w:tcPr>
            <w:tcW w:w="2360" w:type="dxa"/>
            <w:tcBorders/>
            <w:vAlign w:val="center"/>
          </w:tcPr>
          <w:p>
            <w:pPr>
              <w:pStyle w:val="TableContents"/>
              <w:bidi w:val="0"/>
              <w:spacing w:before="0" w:after="0"/>
              <w:jc w:val="left"/>
              <w:rPr>
                <w:rFonts w:ascii="arial" w:hAnsi="arial"/>
                <w:sz w:val="20"/>
              </w:rPr>
            </w:pPr>
            <w:r>
              <w:rPr>
                <w:rFonts w:ascii="arial" w:hAnsi="arial"/>
                <w:sz w:val="20"/>
              </w:rPr>
              <w:t xml:space="preserve">Pre-opening expense; and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185"/>
        <w:gridCol w:w="3680"/>
      </w:tblGrid>
      <w:tr>
        <w:trPr/>
        <w:tc>
          <w:tcPr>
            <w:tcW w:w="185" w:type="dxa"/>
            <w:tcBorders/>
            <w:vAlign w:val="center"/>
          </w:tcPr>
          <w:p>
            <w:pPr>
              <w:pStyle w:val="TableContents"/>
              <w:bidi w:val="0"/>
              <w:spacing w:before="0" w:after="283"/>
              <w:jc w:val="left"/>
              <w:rPr>
                <w:color w:val="004876"/>
              </w:rPr>
            </w:pPr>
            <w:r>
              <w:rPr>
                <w:color w:val="004876"/>
              </w:rPr>
              <w:t>●</w:t>
            </w:r>
          </w:p>
        </w:tc>
        <w:tc>
          <w:tcPr>
            <w:tcW w:w="3680" w:type="dxa"/>
            <w:tcBorders/>
            <w:vAlign w:val="center"/>
          </w:tcPr>
          <w:p>
            <w:pPr>
              <w:pStyle w:val="TableContents"/>
              <w:bidi w:val="0"/>
              <w:spacing w:before="0" w:after="0"/>
              <w:jc w:val="left"/>
              <w:rPr>
                <w:rFonts w:ascii="arial" w:hAnsi="arial"/>
                <w:sz w:val="20"/>
              </w:rPr>
            </w:pPr>
            <w:r>
              <w:rPr>
                <w:rFonts w:ascii="arial" w:hAnsi="arial"/>
                <w:sz w:val="20"/>
              </w:rPr>
              <w:t xml:space="preserve">Other charges, recoveries, and expenses </w:t>
            </w:r>
          </w:p>
        </w:tc>
      </w:tr>
    </w:tbl>
    <w:p>
      <w:pPr>
        <w:pStyle w:val="TextBody"/>
        <w:bidi w:val="0"/>
        <w:spacing w:before="240" w:after="0"/>
        <w:jc w:val="left"/>
        <w:rPr>
          <w:rFonts w:ascii="arial" w:hAnsi="arial"/>
          <w:sz w:val="20"/>
        </w:rPr>
      </w:pPr>
      <w:r>
        <w:rPr>
          <w:rFonts w:ascii="arial" w:hAnsi="arial"/>
          <w:sz w:val="20"/>
        </w:rPr>
        <w:t xml:space="preserve">The property associated with Arlington International Racecourse (“Arlington”) was sold on February 15, 2023 to the Chicago Bears. Arlington’s results and exit costs in 2023 are treated as an adjustment. </w:t>
      </w:r>
    </w:p>
    <w:p>
      <w:pPr>
        <w:pStyle w:val="TextBody"/>
        <w:bidi w:val="0"/>
        <w:spacing w:before="240" w:after="0"/>
        <w:jc w:val="left"/>
        <w:rPr>
          <w:rFonts w:ascii="arial" w:hAnsi="arial"/>
          <w:sz w:val="20"/>
        </w:rPr>
      </w:pPr>
      <w:r>
        <w:rPr>
          <w:rFonts w:ascii="arial" w:hAnsi="arial"/>
          <w:sz w:val="20"/>
        </w:rPr>
        <w:t xml:space="preserve">On June 26, 2023, the Company’s management agreement for Lady Luck in Farmington, Pennsylvania expired and was not renewed. </w:t>
      </w:r>
    </w:p>
    <w:p>
      <w:pPr>
        <w:pStyle w:val="TextBody"/>
        <w:bidi w:val="0"/>
        <w:spacing w:before="0" w:after="0"/>
        <w:jc w:val="left"/>
        <w:rPr/>
      </w:pPr>
      <w:r>
        <w:rPr/>
        <w:t> </w:t>
      </w:r>
    </w:p>
    <w:tbl>
      <w:tblPr>
        <w:tblW w:w="4928" w:type="dxa"/>
        <w:jc w:val="left"/>
        <w:tblInd w:w="0" w:type="dxa"/>
        <w:tblLayout w:type="fixed"/>
        <w:tblCellMar>
          <w:top w:w="0" w:type="dxa"/>
          <w:left w:w="0" w:type="dxa"/>
          <w:bottom w:w="0" w:type="dxa"/>
          <w:right w:w="0" w:type="dxa"/>
        </w:tblCellMar>
      </w:tblPr>
      <w:tblGrid>
        <w:gridCol w:w="1835"/>
        <w:gridCol w:w="60"/>
        <w:gridCol w:w="2638"/>
        <w:gridCol w:w="60"/>
        <w:gridCol w:w="33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0"/>
              <w:jc w:val="left"/>
              <w:rPr>
                <w:rFonts w:ascii="arial" w:hAnsi="arial"/>
                <w:color w:val="004876"/>
                <w:sz w:val="18"/>
              </w:rPr>
            </w:pPr>
            <w:r>
              <w:rPr>
                <w:rFonts w:ascii="arial" w:hAnsi="arial"/>
                <w:color w:val="004876"/>
                <w:sz w:val="18"/>
              </w:rPr>
              <w:t>2026 Proxy Statement</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0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6" descr=""/>
                          <pic:cNvPicPr>
                            <a:picLocks noChangeAspect="1" noChangeArrowheads="1"/>
                          </pic:cNvPicPr>
                        </pic:nvPicPr>
                        <pic:blipFill>
                          <a:blip r:embed="rId107"/>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0"/>
              <w:jc w:val="right"/>
              <w:rPr>
                <w:rFonts w:ascii="arial" w:hAnsi="arial"/>
                <w:b/>
                <w:color w:val="004876"/>
                <w:sz w:val="20"/>
              </w:rPr>
            </w:pPr>
            <w:r>
              <w:rPr>
                <w:rFonts w:ascii="arial" w:hAnsi="arial"/>
                <w:b/>
                <w:color w:val="004876"/>
                <w:sz w:val="20"/>
              </w:rPr>
              <w:t>A-1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4876"/>
          <w:sz w:val="20"/>
        </w:rPr>
      </w:pPr>
      <w:r>
        <w:rPr>
          <w:rFonts w:ascii="arial" w:hAnsi="arial"/>
          <w:b/>
          <w:color w:val="004876"/>
          <w:sz w:val="20"/>
        </w:rPr>
        <w:t xml:space="preserve">Appendix A </w:t>
      </w:r>
    </w:p>
    <w:p>
      <w:pPr>
        <w:pStyle w:val="TextBody"/>
        <w:bidi w:val="0"/>
        <w:spacing w:lineRule="atLeast" w:line="142" w:before="0" w:after="40"/>
        <w:jc w:val="center"/>
        <w:rPr>
          <w:bdr w:val="single" w:sz="8" w:space="1" w:color="004876"/>
        </w:rPr>
      </w:pPr>
      <w:r>
        <w:rPr>
          <w:bdr w:val="single" w:sz="8" w:space="1" w:color="004876"/>
        </w:rPr>
        <w:t> </w:t>
      </w:r>
    </w:p>
    <w:p>
      <w:pPr>
        <w:pStyle w:val="TextBody"/>
        <w:bidi w:val="0"/>
        <w:spacing w:before="0" w:after="0"/>
        <w:jc w:val="left"/>
        <w:rPr/>
      </w:pPr>
      <w:r>
        <w:rPr/>
        <w:t> </w:t>
      </w:r>
    </w:p>
    <w:p>
      <w:pPr>
        <w:pStyle w:val="TextBody"/>
        <w:bidi w:val="0"/>
        <w:spacing w:before="0" w:after="0"/>
        <w:jc w:val="left"/>
        <w:rPr>
          <w:rFonts w:ascii="arial" w:hAnsi="arial"/>
          <w:b/>
          <w:color w:val="004876"/>
          <w:sz w:val="20"/>
        </w:rPr>
      </w:pPr>
      <w:r>
        <w:rPr>
          <w:rFonts w:ascii="arial" w:hAnsi="arial"/>
          <w:b/>
          <w:color w:val="004876"/>
          <w:sz w:val="20"/>
        </w:rPr>
        <w:t xml:space="preserve">Reconciliation of Net Income to Adjusted EBITDA: </w:t>
      </w:r>
    </w:p>
    <w:p>
      <w:pPr>
        <w:pStyle w:val="TextBody"/>
        <w:bidi w:val="0"/>
        <w:spacing w:before="0" w:after="0"/>
        <w:jc w:val="left"/>
        <w:rPr/>
      </w:pPr>
      <w:r>
        <w:rPr/>
        <w:t> </w:t>
      </w:r>
    </w:p>
    <w:tbl>
      <w:tblPr>
        <w:tblW w:w="10220" w:type="dxa"/>
        <w:jc w:val="left"/>
        <w:tblInd w:w="0" w:type="dxa"/>
        <w:tblLayout w:type="fixed"/>
        <w:tblCellMar>
          <w:top w:w="0" w:type="dxa"/>
          <w:left w:w="0" w:type="dxa"/>
          <w:bottom w:w="0" w:type="dxa"/>
          <w:right w:w="0" w:type="dxa"/>
        </w:tblCellMar>
      </w:tblPr>
      <w:tblGrid>
        <w:gridCol w:w="6740"/>
        <w:gridCol w:w="120"/>
        <w:gridCol w:w="140"/>
        <w:gridCol w:w="740"/>
        <w:gridCol w:w="155"/>
        <w:gridCol w:w="120"/>
        <w:gridCol w:w="140"/>
        <w:gridCol w:w="740"/>
        <w:gridCol w:w="155"/>
        <w:gridCol w:w="120"/>
        <w:gridCol w:w="140"/>
        <w:gridCol w:w="740"/>
        <w:gridCol w:w="170"/>
      </w:tblGrid>
      <w:tr>
        <w:trPr/>
        <w:tc>
          <w:tcPr>
            <w:tcW w:w="6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4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3190" w:type="dxa"/>
            <w:gridSpan w:val="10"/>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center"/>
              <w:rPr>
                <w:b/>
                <w:color w:val="FFFFFF"/>
              </w:rPr>
            </w:pPr>
            <w:r>
              <w:rPr>
                <w:b/>
                <w:color w:val="FFFFFF"/>
              </w:rPr>
              <w:t>Years Ended December 31,</w:t>
            </w:r>
          </w:p>
        </w:tc>
        <w:tc>
          <w:tcPr>
            <w:tcW w:w="17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r>
      <w:tr>
        <w:trPr/>
        <w:tc>
          <w:tcPr>
            <w:tcW w:w="674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(in millions)</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880" w:type="dxa"/>
            <w:gridSpan w:val="2"/>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center"/>
              <w:rPr>
                <w:b/>
                <w:color w:val="FFFFFF"/>
              </w:rPr>
            </w:pPr>
            <w:r>
              <w:rPr>
                <w:b/>
                <w:color w:val="FFFFFF"/>
              </w:rPr>
              <w:t>2025</w:t>
            </w:r>
          </w:p>
        </w:tc>
        <w:tc>
          <w:tcPr>
            <w:tcW w:w="155"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880" w:type="dxa"/>
            <w:gridSpan w:val="2"/>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center"/>
              <w:rPr>
                <w:b/>
                <w:color w:val="FFFFFF"/>
              </w:rPr>
            </w:pPr>
            <w:r>
              <w:rPr>
                <w:b/>
                <w:color w:val="FFFFFF"/>
              </w:rPr>
              <w:t>2024</w:t>
            </w:r>
          </w:p>
        </w:tc>
        <w:tc>
          <w:tcPr>
            <w:tcW w:w="155"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12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c>
          <w:tcPr>
            <w:tcW w:w="880" w:type="dxa"/>
            <w:gridSpan w:val="2"/>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center"/>
              <w:rPr>
                <w:b/>
                <w:color w:val="FFFFFF"/>
              </w:rPr>
            </w:pPr>
            <w:r>
              <w:rPr>
                <w:b/>
                <w:color w:val="FFFFFF"/>
              </w:rPr>
              <w:t>2023</w:t>
            </w:r>
          </w:p>
        </w:tc>
        <w:tc>
          <w:tcPr>
            <w:tcW w:w="170" w:type="dxa"/>
            <w:tcBorders>
              <w:top w:val="single" w:sz="16" w:space="0" w:color="004876"/>
              <w:bottom w:val="single" w:sz="16" w:space="0" w:color="004876"/>
            </w:tcBorders>
            <w:shd w:fill="004876" w:val="clear"/>
            <w:tcMar>
              <w:top w:w="28" w:type="dxa"/>
              <w:bottom w:w="28" w:type="dxa"/>
            </w:tcMar>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rFonts w:ascii="arial" w:hAnsi="arial"/>
                <w:b/>
                <w:sz w:val="20"/>
              </w:rPr>
            </w:pPr>
            <w:r>
              <w:rPr>
                <w:rFonts w:ascii="arial" w:hAnsi="arial"/>
                <w:b/>
                <w:sz w:val="20"/>
              </w:rPr>
              <w:t>Net income attributable to Churchill Downs Incorporated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383.0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426.8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417.3</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bottom w:val="single" w:sz="6" w:space="0" w:color="B99C16"/>
            </w:tcBorders>
            <w:shd w:fill="F1EBD0" w:val="clear"/>
            <w:tcMar>
              <w:bottom w:w="80" w:type="dxa"/>
            </w:tcMar>
            <w:vAlign w:val="center"/>
          </w:tcPr>
          <w:p>
            <w:pPr>
              <w:pStyle w:val="TableContents"/>
              <w:bidi w:val="0"/>
              <w:spacing w:before="0" w:after="0"/>
              <w:jc w:val="left"/>
              <w:rPr>
                <w:rFonts w:ascii="arial" w:hAnsi="arial"/>
                <w:sz w:val="20"/>
              </w:rPr>
            </w:pPr>
            <w:r>
              <w:rPr>
                <w:rFonts w:ascii="arial" w:hAnsi="arial"/>
                <w:sz w:val="20"/>
              </w:rPr>
              <w:t>Net income attributable to noncontrolling interest</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0" w:type="dxa"/>
            <w:tcBorders>
              <w:bottom w:val="single" w:sz="6" w:space="0" w:color="B99C16"/>
            </w:tcBorders>
            <w:tcMar>
              <w:bottom w:w="80" w:type="dxa"/>
            </w:tcMar>
            <w:vAlign w:val="center"/>
          </w:tcPr>
          <w:p>
            <w:pPr>
              <w:pStyle w:val="TableContents"/>
              <w:bidi w:val="0"/>
              <w:spacing w:before="0" w:after="283"/>
              <w:jc w:val="left"/>
              <w:rPr/>
            </w:pPr>
            <w:r>
              <w:rPr/>
              <w:t> </w:t>
            </w:r>
          </w:p>
        </w:tc>
        <w:tc>
          <w:tcPr>
            <w:tcW w:w="740" w:type="dxa"/>
            <w:tcBorders>
              <w:bottom w:val="single" w:sz="6" w:space="0" w:color="B99C16"/>
            </w:tcBorders>
            <w:tcMar>
              <w:bottom w:w="80" w:type="dxa"/>
            </w:tcMar>
            <w:vAlign w:val="center"/>
          </w:tcPr>
          <w:p>
            <w:pPr>
              <w:pStyle w:val="TableContents"/>
              <w:bidi w:val="0"/>
              <w:spacing w:before="0" w:after="283"/>
              <w:jc w:val="right"/>
              <w:rPr/>
            </w:pPr>
            <w:r>
              <w:rPr/>
              <w:t>2.5</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0" w:type="dxa"/>
            <w:tcBorders>
              <w:bottom w:val="single" w:sz="6" w:space="0" w:color="B99C16"/>
            </w:tcBorders>
            <w:tcMar>
              <w:bottom w:w="80" w:type="dxa"/>
            </w:tcMar>
            <w:vAlign w:val="center"/>
          </w:tcPr>
          <w:p>
            <w:pPr>
              <w:pStyle w:val="TableContents"/>
              <w:bidi w:val="0"/>
              <w:spacing w:before="0" w:after="283"/>
              <w:jc w:val="left"/>
              <w:rPr/>
            </w:pPr>
            <w:r>
              <w:rPr/>
              <w:t> </w:t>
            </w:r>
          </w:p>
        </w:tc>
        <w:tc>
          <w:tcPr>
            <w:tcW w:w="740" w:type="dxa"/>
            <w:tcBorders>
              <w:bottom w:val="single" w:sz="6" w:space="0" w:color="B99C16"/>
            </w:tcBorders>
            <w:tcMar>
              <w:bottom w:w="80" w:type="dxa"/>
            </w:tcMar>
            <w:vAlign w:val="center"/>
          </w:tcPr>
          <w:p>
            <w:pPr>
              <w:pStyle w:val="TableContents"/>
              <w:bidi w:val="0"/>
              <w:spacing w:before="0" w:after="283"/>
              <w:jc w:val="right"/>
              <w:rPr/>
            </w:pPr>
            <w:r>
              <w:rPr/>
              <w:t>2.3</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0" w:type="dxa"/>
            <w:tcBorders>
              <w:bottom w:val="single" w:sz="6" w:space="0" w:color="B99C16"/>
            </w:tcBorders>
            <w:tcMar>
              <w:bottom w:w="28" w:type="dxa"/>
            </w:tcMar>
            <w:vAlign w:val="center"/>
          </w:tcPr>
          <w:p>
            <w:pPr>
              <w:pStyle w:val="TableContents"/>
              <w:bidi w:val="0"/>
              <w:spacing w:before="0" w:after="283"/>
              <w:jc w:val="left"/>
              <w:rPr/>
            </w:pPr>
            <w:r>
              <w:rPr/>
              <w:t> </w:t>
            </w:r>
          </w:p>
        </w:tc>
        <w:tc>
          <w:tcPr>
            <w:tcW w:w="740" w:type="dxa"/>
            <w:tcBorders>
              <w:bottom w:val="single" w:sz="6" w:space="0" w:color="B99C16"/>
            </w:tcBorders>
            <w:tcMar>
              <w:bottom w:w="28" w:type="dxa"/>
            </w:tcMar>
            <w:vAlign w:val="center"/>
          </w:tcPr>
          <w:p>
            <w:pPr>
              <w:pStyle w:val="TableContents"/>
              <w:bidi w:val="0"/>
              <w:spacing w:before="0" w:after="283"/>
              <w:jc w:val="left"/>
              <w:rPr/>
            </w:pPr>
            <w:r>
              <w:rPr/>
              <w:t> </w:t>
            </w:r>
          </w:p>
        </w:tc>
        <w:tc>
          <w:tcPr>
            <w:tcW w:w="170" w:type="dxa"/>
            <w:tcBorders>
              <w:bottom w:val="single" w:sz="6" w:space="0" w:color="B99C16"/>
            </w:tcBorders>
            <w:tcMar>
              <w:bottom w:w="28" w:type="dxa"/>
            </w:tcMar>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rFonts w:ascii="arial" w:hAnsi="arial"/>
                <w:sz w:val="20"/>
              </w:rPr>
            </w:pPr>
            <w:r>
              <w:rPr>
                <w:rFonts w:ascii="arial" w:hAnsi="arial"/>
                <w:sz w:val="20"/>
              </w:rPr>
              <w:t>Net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385.5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429.1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417.3</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rFonts w:ascii="arial" w:hAnsi="arial"/>
                <w:sz w:val="20"/>
              </w:rPr>
            </w:pPr>
            <w:r>
              <w:rPr>
                <w:rFonts w:ascii="arial" w:hAnsi="arial"/>
                <w:sz w:val="20"/>
              </w:rPr>
              <w:t>Adjustments: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233.1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199.1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169.0</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Interest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297.7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289.8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268.4</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Income tax provision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146.9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144.1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144.5</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Stock-based compensation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32.9</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Legal reserves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(1.2</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Pre-opening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18.6</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Arlington exit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9.4</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Other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7.0</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Transaction (benefit)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4.8</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Asset impairments,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24.6</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Other income,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Interest, depreciation and amortization expense related to equity investments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40.2</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Rivers Des Plaines’ legal reserves and transactions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F1EBD0" w:val="clear"/>
            <w:vAlign w:val="center"/>
          </w:tcPr>
          <w:p>
            <w:pPr>
              <w:pStyle w:val="TableContents"/>
              <w:bidi w:val="0"/>
              <w:spacing w:before="0" w:after="0"/>
              <w:jc w:val="left"/>
              <w:rPr/>
            </w:pPr>
            <w:r>
              <w:rPr/>
              <w:t>  </w:t>
            </w:r>
            <w:r>
              <w:rPr>
                <w:rFonts w:ascii="arial" w:hAnsi="arial"/>
                <w:sz w:val="20"/>
              </w:rPr>
              <w:t>Other charges and recoveries,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2.4</w:t>
            </w:r>
          </w:p>
        </w:tc>
        <w:tc>
          <w:tcPr>
            <w:tcW w:w="170" w:type="dxa"/>
            <w:tcBorders/>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bottom w:val="single" w:sz="6" w:space="0" w:color="B99C16"/>
            </w:tcBorders>
            <w:shd w:fill="F1EBD0" w:val="clear"/>
            <w:tcMar>
              <w:bottom w:w="80" w:type="dxa"/>
            </w:tcMar>
            <w:vAlign w:val="center"/>
          </w:tcPr>
          <w:p>
            <w:pPr>
              <w:pStyle w:val="TableContents"/>
              <w:bidi w:val="0"/>
              <w:spacing w:before="0" w:after="0"/>
              <w:jc w:val="left"/>
              <w:rPr/>
            </w:pPr>
            <w:r>
              <w:rPr/>
              <w:t>  </w:t>
            </w:r>
            <w:r>
              <w:rPr>
                <w:rFonts w:ascii="arial" w:hAnsi="arial"/>
                <w:sz w:val="20"/>
              </w:rPr>
              <w:t>Gain on the sale of assets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0" w:type="dxa"/>
            <w:tcBorders>
              <w:bottom w:val="single" w:sz="6" w:space="0" w:color="B99C16"/>
            </w:tcBorders>
            <w:tcMar>
              <w:bottom w:w="80" w:type="dxa"/>
            </w:tcMar>
            <w:vAlign w:val="center"/>
          </w:tcPr>
          <w:p>
            <w:pPr>
              <w:pStyle w:val="TableContents"/>
              <w:bidi w:val="0"/>
              <w:spacing w:before="0" w:after="283"/>
              <w:jc w:val="left"/>
              <w:rPr/>
            </w:pPr>
            <w:r>
              <w:rPr/>
              <w:t> </w:t>
            </w:r>
          </w:p>
        </w:tc>
        <w:tc>
          <w:tcPr>
            <w:tcW w:w="740" w:type="dxa"/>
            <w:tcBorders>
              <w:bottom w:val="single" w:sz="6" w:space="0" w:color="B99C16"/>
            </w:tcBorders>
            <w:tcMar>
              <w:bottom w:w="80" w:type="dxa"/>
            </w:tcMar>
            <w:vAlign w:val="center"/>
          </w:tcPr>
          <w:p>
            <w:pPr>
              <w:pStyle w:val="TableContents"/>
              <w:bidi w:val="0"/>
              <w:spacing w:before="0" w:after="283"/>
              <w:jc w:val="right"/>
              <w:rPr/>
            </w:pPr>
            <w:r>
              <w:rPr/>
              <w:t>—</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0" w:type="dxa"/>
            <w:tcBorders>
              <w:bottom w:val="single" w:sz="6" w:space="0" w:color="B99C16"/>
            </w:tcBorders>
            <w:tcMar>
              <w:bottom w:w="80" w:type="dxa"/>
            </w:tcMar>
            <w:vAlign w:val="center"/>
          </w:tcPr>
          <w:p>
            <w:pPr>
              <w:pStyle w:val="TableContents"/>
              <w:bidi w:val="0"/>
              <w:spacing w:before="0" w:after="283"/>
              <w:jc w:val="left"/>
              <w:rPr/>
            </w:pPr>
            <w:r>
              <w:rPr/>
              <w:t> </w:t>
            </w:r>
          </w:p>
        </w:tc>
        <w:tc>
          <w:tcPr>
            <w:tcW w:w="740" w:type="dxa"/>
            <w:tcBorders>
              <w:bottom w:val="single" w:sz="6" w:space="0" w:color="B99C16"/>
            </w:tcBorders>
            <w:tcMar>
              <w:bottom w:w="80" w:type="dxa"/>
            </w:tcMar>
            <w:vAlign w:val="center"/>
          </w:tcPr>
          <w:p>
            <w:pPr>
              <w:pStyle w:val="TableContents"/>
              <w:bidi w:val="0"/>
              <w:spacing w:before="0" w:after="283"/>
              <w:jc w:val="right"/>
              <w:rPr/>
            </w:pPr>
            <w:r>
              <w:rPr/>
              <w:t>—</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0" w:type="dxa"/>
            <w:tcBorders>
              <w:bottom w:val="single" w:sz="6" w:space="0" w:color="B99C16"/>
            </w:tcBorders>
            <w:tcMar>
              <w:bottom w:w="80" w:type="dxa"/>
            </w:tcMar>
            <w:vAlign w:val="center"/>
          </w:tcPr>
          <w:p>
            <w:pPr>
              <w:pStyle w:val="TableContents"/>
              <w:bidi w:val="0"/>
              <w:spacing w:before="0" w:after="283"/>
              <w:jc w:val="left"/>
              <w:rPr/>
            </w:pPr>
            <w:r>
              <w:rPr/>
              <w:t> </w:t>
            </w:r>
          </w:p>
        </w:tc>
        <w:tc>
          <w:tcPr>
            <w:tcW w:w="740" w:type="dxa"/>
            <w:tcBorders>
              <w:bottom w:val="single" w:sz="6" w:space="0" w:color="B99C16"/>
            </w:tcBorders>
            <w:tcMar>
              <w:bottom w:w="80" w:type="dxa"/>
            </w:tcMar>
            <w:vAlign w:val="center"/>
          </w:tcPr>
          <w:p>
            <w:pPr>
              <w:pStyle w:val="TableContents"/>
              <w:bidi w:val="0"/>
              <w:spacing w:before="0" w:after="283"/>
              <w:jc w:val="right"/>
              <w:rPr/>
            </w:pPr>
            <w:r>
              <w:rPr/>
              <w:t>(114.0</w:t>
            </w:r>
          </w:p>
        </w:tc>
        <w:tc>
          <w:tcPr>
            <w:tcW w:w="170"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bottom w:val="single" w:sz="6" w:space="0" w:color="B99C16"/>
            </w:tcBorders>
            <w:shd w:fill="F1EBD0" w:val="clear"/>
            <w:tcMar>
              <w:bottom w:w="80" w:type="dxa"/>
            </w:tcMar>
            <w:vAlign w:val="center"/>
          </w:tcPr>
          <w:p>
            <w:pPr>
              <w:pStyle w:val="TableContents"/>
              <w:bidi w:val="0"/>
              <w:spacing w:before="0" w:after="0"/>
              <w:jc w:val="left"/>
              <w:rPr/>
            </w:pPr>
            <w:r>
              <w:rPr/>
              <w:t>   </w:t>
            </w:r>
            <w:r>
              <w:rPr>
                <w:rFonts w:ascii="arial" w:hAnsi="arial"/>
                <w:sz w:val="20"/>
              </w:rPr>
              <w:t>Total adjustments</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0" w:type="dxa"/>
            <w:tcBorders>
              <w:bottom w:val="single" w:sz="6" w:space="0" w:color="B99C16"/>
            </w:tcBorders>
            <w:tcMar>
              <w:bottom w:w="80" w:type="dxa"/>
            </w:tcMar>
            <w:vAlign w:val="center"/>
          </w:tcPr>
          <w:p>
            <w:pPr>
              <w:pStyle w:val="TableContents"/>
              <w:bidi w:val="0"/>
              <w:spacing w:before="0" w:after="283"/>
              <w:jc w:val="left"/>
              <w:rPr/>
            </w:pPr>
            <w:r>
              <w:rPr/>
              <w:t> </w:t>
            </w:r>
          </w:p>
        </w:tc>
        <w:tc>
          <w:tcPr>
            <w:tcW w:w="740" w:type="dxa"/>
            <w:tcBorders>
              <w:bottom w:val="single" w:sz="6" w:space="0" w:color="B99C16"/>
            </w:tcBorders>
            <w:tcMar>
              <w:bottom w:w="80" w:type="dxa"/>
            </w:tcMar>
            <w:vAlign w:val="center"/>
          </w:tcPr>
          <w:p>
            <w:pPr>
              <w:pStyle w:val="TableContents"/>
              <w:bidi w:val="0"/>
              <w:spacing w:before="0" w:after="283"/>
              <w:jc w:val="right"/>
              <w:rPr/>
            </w:pPr>
            <w:r>
              <w:rPr/>
              <w:t>819.8</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0" w:type="dxa"/>
            <w:tcBorders>
              <w:bottom w:val="single" w:sz="6" w:space="0" w:color="B99C16"/>
            </w:tcBorders>
            <w:tcMar>
              <w:bottom w:w="80" w:type="dxa"/>
            </w:tcMar>
            <w:vAlign w:val="center"/>
          </w:tcPr>
          <w:p>
            <w:pPr>
              <w:pStyle w:val="TableContents"/>
              <w:bidi w:val="0"/>
              <w:spacing w:before="0" w:after="283"/>
              <w:jc w:val="left"/>
              <w:rPr/>
            </w:pPr>
            <w:r>
              <w:rPr/>
              <w:t> </w:t>
            </w:r>
          </w:p>
        </w:tc>
        <w:tc>
          <w:tcPr>
            <w:tcW w:w="740" w:type="dxa"/>
            <w:tcBorders>
              <w:bottom w:val="single" w:sz="6" w:space="0" w:color="B99C16"/>
            </w:tcBorders>
            <w:tcMar>
              <w:bottom w:w="80" w:type="dxa"/>
            </w:tcMar>
            <w:vAlign w:val="center"/>
          </w:tcPr>
          <w:p>
            <w:pPr>
              <w:pStyle w:val="TableContents"/>
              <w:bidi w:val="0"/>
              <w:spacing w:before="0" w:after="283"/>
              <w:jc w:val="right"/>
              <w:rPr/>
            </w:pPr>
            <w:r>
              <w:rPr/>
              <w:t>730.1</w:t>
            </w:r>
          </w:p>
        </w:tc>
        <w:tc>
          <w:tcPr>
            <w:tcW w:w="155" w:type="dxa"/>
            <w:tcBorders>
              <w:bottom w:val="single" w:sz="6" w:space="0" w:color="B99C16"/>
            </w:tcBorders>
            <w:tcMar>
              <w:bottom w:w="80"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0" w:type="dxa"/>
            <w:tcBorders>
              <w:bottom w:val="single" w:sz="6" w:space="0" w:color="B99C16"/>
            </w:tcBorders>
            <w:tcMar>
              <w:bottom w:w="80" w:type="dxa"/>
            </w:tcMar>
            <w:vAlign w:val="center"/>
          </w:tcPr>
          <w:p>
            <w:pPr>
              <w:pStyle w:val="TableContents"/>
              <w:bidi w:val="0"/>
              <w:spacing w:before="0" w:after="283"/>
              <w:jc w:val="left"/>
              <w:rPr/>
            </w:pPr>
            <w:r>
              <w:rPr/>
              <w:t> </w:t>
            </w:r>
          </w:p>
        </w:tc>
        <w:tc>
          <w:tcPr>
            <w:tcW w:w="740" w:type="dxa"/>
            <w:tcBorders>
              <w:bottom w:val="single" w:sz="6" w:space="0" w:color="B99C16"/>
            </w:tcBorders>
            <w:tcMar>
              <w:bottom w:w="80" w:type="dxa"/>
            </w:tcMar>
            <w:vAlign w:val="center"/>
          </w:tcPr>
          <w:p>
            <w:pPr>
              <w:pStyle w:val="TableContents"/>
              <w:bidi w:val="0"/>
              <w:spacing w:before="0" w:after="283"/>
              <w:jc w:val="right"/>
              <w:rPr/>
            </w:pPr>
            <w:r>
              <w:rPr/>
              <w:t>606.6</w:t>
            </w:r>
          </w:p>
        </w:tc>
        <w:tc>
          <w:tcPr>
            <w:tcW w:w="170" w:type="dxa"/>
            <w:tcBorders>
              <w:bottom w:val="single" w:sz="6" w:space="0" w:color="B99C16"/>
            </w:tcBorders>
            <w:tcMar>
              <w:bottom w:w="80" w:type="dxa"/>
            </w:tcMar>
            <w:vAlign w:val="center"/>
          </w:tcPr>
          <w:p>
            <w:pPr>
              <w:pStyle w:val="TableContents"/>
              <w:bidi w:val="0"/>
              <w:spacing w:before="0" w:after="283"/>
              <w:jc w:val="left"/>
              <w:rPr/>
            </w:pPr>
            <w:r>
              <w:rPr/>
              <w:t> </w:t>
            </w:r>
          </w:p>
        </w:tc>
      </w:tr>
      <w:tr>
        <w:trPr/>
        <w:tc>
          <w:tcPr>
            <w:tcW w:w="6740" w:type="dxa"/>
            <w:tcBorders/>
            <w:shd w:fill="F1EBD0" w:val="clear"/>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bottom w:val="single" w:sz="6" w:space="0" w:color="B99C16"/>
            </w:tcBorders>
            <w:shd w:fill="F1EBD0" w:val="clear"/>
            <w:tcMar>
              <w:bottom w:w="28" w:type="dxa"/>
            </w:tcMar>
            <w:vAlign w:val="center"/>
          </w:tcPr>
          <w:p>
            <w:pPr>
              <w:pStyle w:val="TableContents"/>
              <w:bidi w:val="0"/>
              <w:spacing w:before="0" w:after="0"/>
              <w:jc w:val="left"/>
              <w:rPr>
                <w:rFonts w:ascii="arial" w:hAnsi="arial"/>
                <w:b/>
                <w:sz w:val="20"/>
              </w:rPr>
            </w:pPr>
            <w:r>
              <w:rPr>
                <w:rFonts w:ascii="arial" w:hAnsi="arial"/>
                <w:b/>
                <w:sz w:val="20"/>
              </w:rPr>
              <w:t>Adjusted EBITDA</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0" w:type="dxa"/>
            <w:tcBorders>
              <w:bottom w:val="single" w:sz="6" w:space="0" w:color="B99C16"/>
            </w:tcBorders>
            <w:tcMar>
              <w:bottom w:w="28" w:type="dxa"/>
            </w:tcMar>
            <w:vAlign w:val="center"/>
          </w:tcPr>
          <w:p>
            <w:pPr>
              <w:pStyle w:val="TableContents"/>
              <w:bidi w:val="0"/>
              <w:spacing w:before="0" w:after="283"/>
              <w:jc w:val="left"/>
              <w:rPr/>
            </w:pPr>
            <w:r>
              <w:rPr/>
              <w:t>$</w:t>
            </w:r>
          </w:p>
        </w:tc>
        <w:tc>
          <w:tcPr>
            <w:tcW w:w="740" w:type="dxa"/>
            <w:tcBorders>
              <w:bottom w:val="single" w:sz="6" w:space="0" w:color="B99C16"/>
            </w:tcBorders>
            <w:tcMar>
              <w:bottom w:w="28" w:type="dxa"/>
            </w:tcMar>
            <w:vAlign w:val="center"/>
          </w:tcPr>
          <w:p>
            <w:pPr>
              <w:pStyle w:val="TableContents"/>
              <w:bidi w:val="0"/>
              <w:spacing w:before="0" w:after="283"/>
              <w:jc w:val="right"/>
              <w:rPr/>
            </w:pPr>
            <w:r>
              <w:rPr/>
              <w:t>1,205.3</w:t>
            </w:r>
          </w:p>
        </w:tc>
        <w:tc>
          <w:tcPr>
            <w:tcW w:w="155"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0" w:type="dxa"/>
            <w:tcBorders>
              <w:bottom w:val="single" w:sz="6" w:space="0" w:color="B99C16"/>
            </w:tcBorders>
            <w:tcMar>
              <w:bottom w:w="28" w:type="dxa"/>
            </w:tcMar>
            <w:vAlign w:val="center"/>
          </w:tcPr>
          <w:p>
            <w:pPr>
              <w:pStyle w:val="TableContents"/>
              <w:bidi w:val="0"/>
              <w:spacing w:before="0" w:after="283"/>
              <w:jc w:val="left"/>
              <w:rPr/>
            </w:pPr>
            <w:r>
              <w:rPr/>
              <w:t>$</w:t>
            </w:r>
          </w:p>
        </w:tc>
        <w:tc>
          <w:tcPr>
            <w:tcW w:w="740" w:type="dxa"/>
            <w:tcBorders>
              <w:bottom w:val="single" w:sz="6" w:space="0" w:color="B99C16"/>
            </w:tcBorders>
            <w:tcMar>
              <w:bottom w:w="28" w:type="dxa"/>
            </w:tcMar>
            <w:vAlign w:val="center"/>
          </w:tcPr>
          <w:p>
            <w:pPr>
              <w:pStyle w:val="TableContents"/>
              <w:bidi w:val="0"/>
              <w:spacing w:before="0" w:after="283"/>
              <w:jc w:val="right"/>
              <w:rPr/>
            </w:pPr>
            <w:r>
              <w:rPr/>
              <w:t>1,159.2</w:t>
            </w:r>
          </w:p>
        </w:tc>
        <w:tc>
          <w:tcPr>
            <w:tcW w:w="155" w:type="dxa"/>
            <w:tcBorders>
              <w:bottom w:val="single" w:sz="6" w:space="0" w:color="B99C16"/>
            </w:tcBorders>
            <w:tcMar>
              <w:bottom w:w="28" w:type="dxa"/>
            </w:tcMar>
            <w:vAlign w:val="center"/>
          </w:tcPr>
          <w:p>
            <w:pPr>
              <w:pStyle w:val="TableContents"/>
              <w:bidi w:val="0"/>
              <w:spacing w:before="0" w:after="283"/>
              <w:jc w:val="left"/>
              <w:rPr/>
            </w:pPr>
            <w:r>
              <w:rPr/>
              <w:t> </w:t>
            </w:r>
          </w:p>
        </w:tc>
        <w:tc>
          <w:tcPr>
            <w:tcW w:w="120" w:type="dxa"/>
            <w:tcBorders>
              <w:bottom w:val="single" w:sz="6" w:space="0" w:color="B99C16"/>
            </w:tcBorders>
            <w:tcMar>
              <w:bottom w:w="28" w:type="dxa"/>
            </w:tcMar>
            <w:vAlign w:val="center"/>
          </w:tcPr>
          <w:p>
            <w:pPr>
              <w:pStyle w:val="TableContents"/>
              <w:bidi w:val="0"/>
              <w:spacing w:before="0" w:after="283"/>
              <w:jc w:val="left"/>
              <w:rPr/>
            </w:pPr>
            <w:r>
              <w:rPr/>
              <w:t>  </w:t>
            </w:r>
          </w:p>
        </w:tc>
        <w:tc>
          <w:tcPr>
            <w:tcW w:w="140" w:type="dxa"/>
            <w:tcBorders>
              <w:bottom w:val="single" w:sz="6" w:space="0" w:color="B99C16"/>
            </w:tcBorders>
            <w:tcMar>
              <w:bottom w:w="28" w:type="dxa"/>
            </w:tcMar>
            <w:vAlign w:val="center"/>
          </w:tcPr>
          <w:p>
            <w:pPr>
              <w:pStyle w:val="TableContents"/>
              <w:bidi w:val="0"/>
              <w:spacing w:before="0" w:after="283"/>
              <w:jc w:val="left"/>
              <w:rPr/>
            </w:pPr>
            <w:r>
              <w:rPr/>
              <w:t>$</w:t>
            </w:r>
          </w:p>
        </w:tc>
        <w:tc>
          <w:tcPr>
            <w:tcW w:w="740" w:type="dxa"/>
            <w:tcBorders>
              <w:bottom w:val="single" w:sz="6" w:space="0" w:color="B99C16"/>
            </w:tcBorders>
            <w:tcMar>
              <w:bottom w:w="28" w:type="dxa"/>
            </w:tcMar>
            <w:vAlign w:val="center"/>
          </w:tcPr>
          <w:p>
            <w:pPr>
              <w:pStyle w:val="TableContents"/>
              <w:bidi w:val="0"/>
              <w:spacing w:before="0" w:after="283"/>
              <w:jc w:val="right"/>
              <w:rPr/>
            </w:pPr>
            <w:r>
              <w:rPr/>
              <w:t>1,023.9</w:t>
            </w:r>
          </w:p>
        </w:tc>
        <w:tc>
          <w:tcPr>
            <w:tcW w:w="170" w:type="dxa"/>
            <w:tcBorders>
              <w:bottom w:val="single" w:sz="6" w:space="0" w:color="B99C16"/>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928" w:type="dxa"/>
        <w:jc w:val="left"/>
        <w:tblInd w:w="0" w:type="dxa"/>
        <w:tblLayout w:type="fixed"/>
        <w:tblCellMar>
          <w:top w:w="0" w:type="dxa"/>
          <w:left w:w="0" w:type="dxa"/>
          <w:bottom w:w="0" w:type="dxa"/>
          <w:right w:w="0" w:type="dxa"/>
        </w:tblCellMar>
      </w:tblPr>
      <w:tblGrid>
        <w:gridCol w:w="335"/>
        <w:gridCol w:w="60"/>
        <w:gridCol w:w="2638"/>
        <w:gridCol w:w="60"/>
        <w:gridCol w:w="1835"/>
      </w:tblGrid>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20"/>
              <w:jc w:val="left"/>
              <w:rPr>
                <w:rFonts w:ascii="arial" w:hAnsi="arial"/>
                <w:b/>
                <w:color w:val="004876"/>
                <w:sz w:val="20"/>
              </w:rPr>
            </w:pPr>
            <w:r>
              <w:rPr>
                <w:rFonts w:ascii="arial" w:hAnsi="arial"/>
                <w:b/>
                <w:color w:val="004876"/>
                <w:sz w:val="20"/>
              </w:rPr>
              <w:t>A-2</w:t>
            </w:r>
          </w:p>
        </w:tc>
        <w:tc>
          <w:tcPr>
            <w:tcW w:w="60" w:type="dxa"/>
            <w:tcBorders/>
            <w:vAlign w:val="center"/>
          </w:tcPr>
          <w:p>
            <w:pPr>
              <w:pStyle w:val="TableContents"/>
              <w:bidi w:val="0"/>
              <w:spacing w:before="0" w:after="283"/>
              <w:jc w:val="left"/>
              <w:rPr/>
            </w:pPr>
            <w:r>
              <w:rPr/>
              <w:t> </w:t>
            </w:r>
          </w:p>
        </w:tc>
        <w:tc>
          <w:tcPr>
            <w:tcW w:w="2638" w:type="dxa"/>
            <w:tcBorders/>
            <w:vAlign w:val="center"/>
          </w:tcPr>
          <w:p>
            <w:pPr>
              <w:pStyle w:val="TableContents"/>
              <w:bidi w:val="0"/>
              <w:spacing w:before="0" w:after="20"/>
              <w:jc w:val="center"/>
              <w:rPr/>
            </w:pPr>
            <w:r>
              <w:rPr/>
              <w:drawing>
                <wp:inline distT="0" distB="0" distL="0" distR="0">
                  <wp:extent cx="1637030" cy="228600"/>
                  <wp:effectExtent l="0" t="0" r="0" b="0"/>
                  <wp:docPr id="10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7" descr=""/>
                          <pic:cNvPicPr>
                            <a:picLocks noChangeAspect="1" noChangeArrowheads="1"/>
                          </pic:cNvPicPr>
                        </pic:nvPicPr>
                        <pic:blipFill>
                          <a:blip r:embed="rId108"/>
                          <a:stretch>
                            <a:fillRect/>
                          </a:stretch>
                        </pic:blipFill>
                        <pic:spPr bwMode="auto">
                          <a:xfrm>
                            <a:off x="0" y="0"/>
                            <a:ext cx="1637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0"/>
              <w:jc w:val="right"/>
              <w:rPr>
                <w:rFonts w:ascii="arial" w:hAnsi="arial"/>
                <w:color w:val="004876"/>
                <w:sz w:val="18"/>
              </w:rPr>
            </w:pPr>
            <w:r>
              <w:rPr>
                <w:rFonts w:ascii="arial" w:hAnsi="arial"/>
                <w:color w:val="004876"/>
                <w:sz w:val="18"/>
              </w:rPr>
              <w:t>2026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1108" w:type="dxa"/>
        <w:jc w:val="left"/>
        <w:tblInd w:w="0" w:type="dxa"/>
        <w:tblLayout w:type="fixed"/>
        <w:tblCellMar>
          <w:top w:w="0" w:type="dxa"/>
          <w:left w:w="0" w:type="dxa"/>
          <w:bottom w:w="0" w:type="dxa"/>
          <w:right w:w="0" w:type="dxa"/>
        </w:tblCellMar>
      </w:tblPr>
      <w:tblGrid>
        <w:gridCol w:w="4485"/>
        <w:gridCol w:w="120"/>
        <w:gridCol w:w="23"/>
        <w:gridCol w:w="120"/>
        <w:gridCol w:w="6360"/>
      </w:tblGrid>
      <w:tr>
        <w:trPr/>
        <w:tc>
          <w:tcPr>
            <w:tcW w:w="4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60" w:type="dxa"/>
            <w:tcBorders/>
            <w:vAlign w:val="center"/>
          </w:tcPr>
          <w:p>
            <w:pPr>
              <w:pStyle w:val="TableContents"/>
              <w:bidi w:val="0"/>
              <w:spacing w:before="0" w:after="283"/>
              <w:jc w:val="left"/>
              <w:rPr>
                <w:sz w:val="4"/>
                <w:szCs w:val="4"/>
              </w:rPr>
            </w:pPr>
            <w:r>
              <w:rPr>
                <w:sz w:val="4"/>
                <w:szCs w:val="4"/>
              </w:rPr>
            </w:r>
          </w:p>
        </w:tc>
      </w:tr>
      <w:tr>
        <w:trPr/>
        <w:tc>
          <w:tcPr>
            <w:tcW w:w="448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838450" cy="485775"/>
                  <wp:effectExtent l="0" t="0" r="0" b="0"/>
                  <wp:docPr id="11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8" descr=""/>
                          <pic:cNvPicPr>
                            <a:picLocks noChangeAspect="1" noChangeArrowheads="1"/>
                          </pic:cNvPicPr>
                        </pic:nvPicPr>
                        <pic:blipFill>
                          <a:blip r:embed="rId109"/>
                          <a:stretch>
                            <a:fillRect/>
                          </a:stretch>
                        </pic:blipFill>
                        <pic:spPr bwMode="auto">
                          <a:xfrm>
                            <a:off x="0" y="0"/>
                            <a:ext cx="2838450" cy="4857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ARIAL" w:hAnsi="ARIAL"/>
                <w:sz w:val="12"/>
              </w:rPr>
            </w:pPr>
            <w:r>
              <w:rPr>
                <w:rFonts w:ascii="ARIAL" w:hAnsi="ARIAL"/>
                <w:sz w:val="12"/>
              </w:rPr>
              <w:t>Mediant P.O. BOX 8016, CARY, NC 27512-9903</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60" w:type="dxa"/>
            <w:tcBorders/>
            <w:vAlign w:val="center"/>
          </w:tcPr>
          <w:p>
            <w:pPr>
              <w:pStyle w:val="TableContents"/>
              <w:bidi w:val="0"/>
              <w:spacing w:before="0" w:after="283"/>
              <w:jc w:val="right"/>
              <w:rPr/>
            </w:pPr>
            <w:r>
              <w:rPr/>
              <w:drawing>
                <wp:inline distT="0" distB="0" distL="0" distR="0">
                  <wp:extent cx="4029075" cy="2676525"/>
                  <wp:effectExtent l="0" t="0" r="0" b="0"/>
                  <wp:docPr id="111"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9" descr=""/>
                          <pic:cNvPicPr>
                            <a:picLocks noChangeAspect="1" noChangeArrowheads="1"/>
                          </pic:cNvPicPr>
                        </pic:nvPicPr>
                        <pic:blipFill>
                          <a:blip r:embed="rId110"/>
                          <a:stretch>
                            <a:fillRect/>
                          </a:stretch>
                        </pic:blipFill>
                        <pic:spPr bwMode="auto">
                          <a:xfrm>
                            <a:off x="0" y="0"/>
                            <a:ext cx="4029075" cy="267652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18"/>
        <w:gridCol w:w="60"/>
        <w:gridCol w:w="23"/>
        <w:gridCol w:w="60"/>
        <w:gridCol w:w="813"/>
        <w:gridCol w:w="120"/>
        <w:gridCol w:w="5011"/>
      </w:tblGrid>
      <w:tr>
        <w:trPr/>
        <w:tc>
          <w:tcPr>
            <w:tcW w:w="4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4118" w:type="dxa"/>
            <w:tcBorders/>
            <w:vAlign w:val="center"/>
          </w:tcPr>
          <w:p>
            <w:pPr>
              <w:pStyle w:val="TableContents"/>
              <w:bidi w:val="0"/>
              <w:spacing w:before="0" w:after="0"/>
              <w:jc w:val="center"/>
              <w:rPr>
                <w:rFonts w:ascii="ARIAL" w:hAnsi="ARIAL"/>
                <w:b/>
                <w:sz w:val="28"/>
              </w:rPr>
            </w:pPr>
            <w:r>
              <w:rPr>
                <w:rFonts w:ascii="ARIAL" w:hAnsi="ARIAL"/>
                <w:b/>
                <w:sz w:val="28"/>
              </w:rPr>
              <w:t>Churchill Downs Incorporated</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13"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457200" cy="390525"/>
                  <wp:effectExtent l="0" t="0" r="0" b="0"/>
                  <wp:docPr id="11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0" descr=""/>
                          <pic:cNvPicPr>
                            <a:picLocks noChangeAspect="1" noChangeArrowheads="1"/>
                          </pic:cNvPicPr>
                        </pic:nvPicPr>
                        <pic:blipFill>
                          <a:blip r:embed="rId111"/>
                          <a:stretch>
                            <a:fillRect/>
                          </a:stretch>
                        </pic:blipFill>
                        <pic:spPr bwMode="auto">
                          <a:xfrm>
                            <a:off x="0" y="0"/>
                            <a:ext cx="457200" cy="3905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371475" cy="447675"/>
                  <wp:effectExtent l="0" t="0" r="0" b="0"/>
                  <wp:docPr id="11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1" descr=""/>
                          <pic:cNvPicPr>
                            <a:picLocks noChangeAspect="1" noChangeArrowheads="1"/>
                          </pic:cNvPicPr>
                        </pic:nvPicPr>
                        <pic:blipFill>
                          <a:blip r:embed="rId112"/>
                          <a:stretch>
                            <a:fillRect/>
                          </a:stretch>
                        </pic:blipFill>
                        <pic:spPr bwMode="auto">
                          <a:xfrm>
                            <a:off x="0" y="0"/>
                            <a:ext cx="371475" cy="4476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457200" cy="466725"/>
                  <wp:effectExtent l="0" t="0" r="0" b="0"/>
                  <wp:docPr id="11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2" descr=""/>
                          <pic:cNvPicPr>
                            <a:picLocks noChangeAspect="1" noChangeArrowheads="1"/>
                          </pic:cNvPicPr>
                        </pic:nvPicPr>
                        <pic:blipFill>
                          <a:blip r:embed="rId113"/>
                          <a:stretch>
                            <a:fillRect/>
                          </a:stretch>
                        </pic:blipFill>
                        <pic:spPr bwMode="auto">
                          <a:xfrm>
                            <a:off x="0" y="0"/>
                            <a:ext cx="457200" cy="4667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495300" cy="409575"/>
                  <wp:effectExtent l="0" t="0" r="0" b="0"/>
                  <wp:docPr id="115"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3" descr=""/>
                          <pic:cNvPicPr>
                            <a:picLocks noChangeAspect="1" noChangeArrowheads="1"/>
                          </pic:cNvPicPr>
                        </pic:nvPicPr>
                        <pic:blipFill>
                          <a:blip r:embed="rId114"/>
                          <a:stretch>
                            <a:fillRect/>
                          </a:stretch>
                        </pic:blipFill>
                        <pic:spPr bwMode="auto">
                          <a:xfrm>
                            <a:off x="0" y="0"/>
                            <a:ext cx="495300" cy="409575"/>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5011" w:type="dxa"/>
            <w:vMerge w:val="restart"/>
            <w:tcBorders/>
            <w:vAlign w:val="center"/>
          </w:tcPr>
          <w:p>
            <w:pPr>
              <w:pStyle w:val="TableContents"/>
              <w:bidi w:val="0"/>
              <w:spacing w:before="0" w:after="0"/>
              <w:jc w:val="left"/>
              <w:rPr>
                <w:rFonts w:ascii="ARIAL" w:hAnsi="ARIAL"/>
                <w:b/>
                <w:sz w:val="20"/>
              </w:rPr>
            </w:pPr>
            <w:r>
              <w:rPr>
                <w:rFonts w:ascii="ARIAL" w:hAnsi="ARIAL"/>
                <w:b/>
                <w:sz w:val="20"/>
              </w:rPr>
              <w:t>Internet:</w:t>
            </w:r>
          </w:p>
          <w:p>
            <w:pPr>
              <w:pStyle w:val="TableContents"/>
              <w:bidi w:val="0"/>
              <w:spacing w:before="0" w:after="0"/>
              <w:jc w:val="left"/>
              <w:rPr>
                <w:rFonts w:ascii="ARIAL" w:hAnsi="ARIAL"/>
                <w:b/>
                <w:color w:val="BD9F60"/>
                <w:sz w:val="16"/>
              </w:rPr>
            </w:pPr>
            <w:r>
              <w:rPr>
                <w:rFonts w:ascii="ARIAL" w:hAnsi="ARIAL"/>
                <w:b/>
                <w:color w:val="BD9F60"/>
                <w:sz w:val="16"/>
              </w:rPr>
              <w:t>www.proxypush.com/CHDN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Cast your vote online</w:t>
            </w:r>
          </w:p>
          <w:p>
            <w:pPr>
              <w:pStyle w:val="TableContents"/>
              <w:bidi w:val="0"/>
              <w:spacing w:before="0" w:after="0"/>
              <w:jc w:val="left"/>
              <w:rPr/>
            </w:pPr>
            <w:r>
              <w:rPr/>
              <w:t>•</w:t>
            </w:r>
          </w:p>
          <w:p>
            <w:pPr>
              <w:pStyle w:val="TableContents"/>
              <w:bidi w:val="0"/>
              <w:spacing w:before="0" w:after="0"/>
              <w:jc w:val="left"/>
              <w:rPr>
                <w:rFonts w:ascii="ARIAL" w:hAnsi="ARIAL"/>
                <w:b/>
              </w:rPr>
            </w:pPr>
            <w:r>
              <w:rPr>
                <w:rFonts w:ascii="ARIAL" w:hAnsi="ARIAL"/>
                <w:b/>
              </w:rPr>
              <w:t>Have your Proxy Card ready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Follow the simple instructions to record your vote</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Phone:</w:t>
            </w:r>
          </w:p>
          <w:p>
            <w:pPr>
              <w:pStyle w:val="TableContents"/>
              <w:bidi w:val="0"/>
              <w:spacing w:before="0" w:after="0"/>
              <w:jc w:val="left"/>
              <w:rPr>
                <w:rFonts w:ascii="ARIAL" w:hAnsi="ARIAL"/>
                <w:b/>
                <w:color w:val="BD9F60"/>
                <w:sz w:val="16"/>
              </w:rPr>
            </w:pPr>
            <w:r>
              <w:rPr>
                <w:rFonts w:ascii="ARIAL" w:hAnsi="ARIAL"/>
                <w:b/>
                <w:color w:val="BD9F60"/>
                <w:sz w:val="16"/>
              </w:rPr>
              <w:t>1-866-284-6863</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Use any touch-tone telephone</w:t>
            </w:r>
          </w:p>
          <w:p>
            <w:pPr>
              <w:pStyle w:val="TableContents"/>
              <w:bidi w:val="0"/>
              <w:spacing w:before="0" w:after="0"/>
              <w:jc w:val="left"/>
              <w:rPr/>
            </w:pPr>
            <w:r>
              <w:rPr/>
              <w:t>•</w:t>
            </w:r>
          </w:p>
          <w:p>
            <w:pPr>
              <w:pStyle w:val="TableContents"/>
              <w:bidi w:val="0"/>
              <w:spacing w:before="0" w:after="0"/>
              <w:jc w:val="left"/>
              <w:rPr>
                <w:rFonts w:ascii="ARIAL" w:hAnsi="ARIAL"/>
                <w:b/>
              </w:rPr>
            </w:pPr>
            <w:r>
              <w:rPr>
                <w:rFonts w:ascii="ARIAL" w:hAnsi="ARIAL"/>
                <w:b/>
              </w:rPr>
              <w:t>Have your Proxy Card ready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Follow the simple recorded instructions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Mail: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Mark, sign and date your Proxy Card</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Fold and return your Proxy Card in the postage-paid envelope provided</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Virtual:</w:t>
            </w:r>
          </w:p>
          <w:p>
            <w:pPr>
              <w:pStyle w:val="TableContents"/>
              <w:bidi w:val="0"/>
              <w:spacing w:before="0" w:after="20"/>
              <w:jc w:val="left"/>
              <w:rPr>
                <w:rFonts w:ascii="ARIAL" w:hAnsi="ARIAL"/>
                <w:sz w:val="15"/>
              </w:rPr>
            </w:pPr>
            <w:r>
              <w:rPr>
                <w:rFonts w:ascii="ARIAL" w:hAnsi="ARIAL"/>
                <w:sz w:val="15"/>
              </w:rPr>
              <w:t>You must register to attend the meeting online and/or participate at www.proxydocs.com/CHDN</w:t>
            </w:r>
          </w:p>
        </w:tc>
      </w:tr>
      <w:tr>
        <w:trPr/>
        <w:tc>
          <w:tcPr>
            <w:tcW w:w="4118" w:type="dxa"/>
            <w:tcBorders/>
            <w:shd w:fill="000000"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8"/>
              </w:rPr>
            </w:pPr>
            <w:r>
              <w:rPr>
                <w:rFonts w:ascii="ARIAL" w:hAnsi="ARIAL"/>
                <w:b/>
                <w:color w:val="FFFFFF"/>
                <w:sz w:val="28"/>
              </w:rPr>
              <w:t>Annual Meeting of Shareholders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11" w:type="dxa"/>
            <w:vMerge w:val="continue"/>
            <w:tcBorders/>
            <w:vAlign w:val="center"/>
          </w:tcPr>
          <w:p>
            <w:pPr>
              <w:pStyle w:val="Normal"/>
              <w:bidi w:val="0"/>
              <w:jc w:val="left"/>
              <w:rPr/>
            </w:pPr>
            <w:r>
              <w:rPr/>
            </w:r>
          </w:p>
        </w:tc>
      </w:tr>
      <w:tr>
        <w:trPr/>
        <w:tc>
          <w:tcPr>
            <w:tcW w:w="4118" w:type="dxa"/>
            <w:tcBorders/>
            <w:shd w:fill="BD9F60"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11" w:type="dxa"/>
            <w:vMerge w:val="continue"/>
            <w:tcBorders/>
            <w:vAlign w:val="center"/>
          </w:tcPr>
          <w:p>
            <w:pPr>
              <w:pStyle w:val="Normal"/>
              <w:bidi w:val="0"/>
              <w:jc w:val="left"/>
              <w:rPr/>
            </w:pPr>
            <w:r>
              <w:rPr/>
            </w:r>
          </w:p>
        </w:tc>
      </w:tr>
      <w:tr>
        <w:trPr/>
        <w:tc>
          <w:tcPr>
            <w:tcW w:w="4118"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For Shareholders of record as of the close of business on March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11" w:type="dxa"/>
            <w:vMerge w:val="continue"/>
            <w:tcBorders/>
            <w:vAlign w:val="center"/>
          </w:tcPr>
          <w:p>
            <w:pPr>
              <w:pStyle w:val="Normal"/>
              <w:bidi w:val="0"/>
              <w:jc w:val="left"/>
              <w:rPr/>
            </w:pPr>
            <w:r>
              <w:rPr/>
            </w:r>
          </w:p>
        </w:tc>
      </w:tr>
      <w:tr>
        <w:trPr/>
        <w:tc>
          <w:tcPr>
            <w:tcW w:w="4118"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Tuesday, April 21, 2026 9:00 AM, Eastern Time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11" w:type="dxa"/>
            <w:vMerge w:val="continue"/>
            <w:tcBorders/>
            <w:vAlign w:val="center"/>
          </w:tcPr>
          <w:p>
            <w:pPr>
              <w:pStyle w:val="Normal"/>
              <w:bidi w:val="0"/>
              <w:jc w:val="left"/>
              <w:rPr/>
            </w:pPr>
            <w:r>
              <w:rPr/>
            </w:r>
          </w:p>
        </w:tc>
      </w:tr>
      <w:tr>
        <w:trPr/>
        <w:tc>
          <w:tcPr>
            <w:tcW w:w="4118"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Annual Meeting to be held live via the Internet. Please visit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11" w:type="dxa"/>
            <w:vMerge w:val="continue"/>
            <w:tcBorders/>
            <w:vAlign w:val="center"/>
          </w:tcPr>
          <w:p>
            <w:pPr>
              <w:pStyle w:val="Normal"/>
              <w:bidi w:val="0"/>
              <w:jc w:val="left"/>
              <w:rPr/>
            </w:pPr>
            <w:r>
              <w:rPr/>
            </w:r>
          </w:p>
        </w:tc>
      </w:tr>
      <w:tr>
        <w:trPr/>
        <w:tc>
          <w:tcPr>
            <w:tcW w:w="4118"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www.proxydocs.com/CHDN for more details.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11" w:type="dxa"/>
            <w:vMerge w:val="continue"/>
            <w:tcBorders/>
            <w:vAlign w:val="center"/>
          </w:tcPr>
          <w:p>
            <w:pPr>
              <w:pStyle w:val="Normal"/>
              <w:bidi w:val="0"/>
              <w:jc w:val="left"/>
              <w:rPr/>
            </w:pPr>
            <w:r>
              <w:rPr/>
            </w:r>
          </w:p>
        </w:tc>
      </w:tr>
      <w:tr>
        <w:trPr/>
        <w:tc>
          <w:tcPr>
            <w:tcW w:w="4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11" w:type="dxa"/>
            <w:vMerge w:val="continue"/>
            <w:tcBorders/>
            <w:vAlign w:val="center"/>
          </w:tcPr>
          <w:p>
            <w:pPr>
              <w:pStyle w:val="Normal"/>
              <w:bidi w:val="0"/>
              <w:jc w:val="left"/>
              <w:rPr/>
            </w:pPr>
            <w:r>
              <w:rPr/>
            </w:r>
          </w:p>
        </w:tc>
      </w:tr>
      <w:tr>
        <w:trPr/>
        <w:tc>
          <w:tcPr>
            <w:tcW w:w="4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11" w:type="dxa"/>
            <w:vMerge w:val="continue"/>
            <w:tcBorders/>
            <w:vAlign w:val="center"/>
          </w:tcPr>
          <w:p>
            <w:pPr>
              <w:pStyle w:val="Normal"/>
              <w:bidi w:val="0"/>
              <w:jc w:val="left"/>
              <w:rPr/>
            </w:pPr>
            <w:r>
              <w:rPr/>
            </w:r>
          </w:p>
        </w:tc>
      </w:tr>
      <w:tr>
        <w:trPr/>
        <w:tc>
          <w:tcPr>
            <w:tcW w:w="4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11" w:type="dxa"/>
            <w:vMerge w:val="continue"/>
            <w:tcBorders/>
            <w:vAlign w:val="center"/>
          </w:tcPr>
          <w:p>
            <w:pPr>
              <w:pStyle w:val="Normal"/>
              <w:bidi w:val="0"/>
              <w:jc w:val="left"/>
              <w:rPr/>
            </w:pPr>
            <w:r>
              <w:rPr/>
            </w:r>
          </w:p>
        </w:tc>
      </w:tr>
      <w:tr>
        <w:trPr/>
        <w:tc>
          <w:tcPr>
            <w:tcW w:w="4118" w:type="dxa"/>
            <w:tcBorders/>
            <w:vAlign w:val="center"/>
          </w:tcPr>
          <w:p>
            <w:pPr>
              <w:pStyle w:val="TableContents"/>
              <w:bidi w:val="0"/>
              <w:spacing w:before="0" w:after="283"/>
              <w:jc w:val="center"/>
              <w:rPr>
                <w:b/>
                <w:sz w:val="20"/>
              </w:rPr>
            </w:pPr>
            <w:r>
              <w:rPr>
                <w:b/>
                <w:sz w:val="20"/>
              </w:rPr>
              <w:t>YOUR VOTE IS IMPORTANT!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11" w:type="dxa"/>
            <w:vMerge w:val="continue"/>
            <w:tcBorders/>
            <w:vAlign w:val="center"/>
          </w:tcPr>
          <w:p>
            <w:pPr>
              <w:pStyle w:val="Normal"/>
              <w:bidi w:val="0"/>
              <w:jc w:val="left"/>
              <w:rPr/>
            </w:pPr>
            <w:r>
              <w:rPr/>
            </w:r>
          </w:p>
        </w:tc>
      </w:tr>
      <w:tr>
        <w:trPr/>
        <w:tc>
          <w:tcPr>
            <w:tcW w:w="4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11" w:type="dxa"/>
            <w:vMerge w:val="continue"/>
            <w:tcBorders/>
            <w:vAlign w:val="center"/>
          </w:tcPr>
          <w:p>
            <w:pPr>
              <w:pStyle w:val="Normal"/>
              <w:bidi w:val="0"/>
              <w:jc w:val="left"/>
              <w:rPr/>
            </w:pPr>
            <w:r>
              <w:rPr/>
            </w:r>
          </w:p>
        </w:tc>
      </w:tr>
      <w:tr>
        <w:trPr/>
        <w:tc>
          <w:tcPr>
            <w:tcW w:w="4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11" w:type="dxa"/>
            <w:vMerge w:val="continue"/>
            <w:tcBorders/>
            <w:vAlign w:val="center"/>
          </w:tcPr>
          <w:p>
            <w:pPr>
              <w:pStyle w:val="Normal"/>
              <w:bidi w:val="0"/>
              <w:jc w:val="left"/>
              <w:rPr/>
            </w:pPr>
            <w:r>
              <w:rPr/>
            </w:r>
          </w:p>
        </w:tc>
      </w:tr>
      <w:tr>
        <w:trPr/>
        <w:tc>
          <w:tcPr>
            <w:tcW w:w="4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11" w:type="dxa"/>
            <w:vMerge w:val="continue"/>
            <w:tcBorders/>
            <w:vAlign w:val="center"/>
          </w:tcPr>
          <w:p>
            <w:pPr>
              <w:pStyle w:val="Normal"/>
              <w:bidi w:val="0"/>
              <w:jc w:val="left"/>
              <w:rPr/>
            </w:pPr>
            <w:r>
              <w:rPr/>
            </w:r>
          </w:p>
        </w:tc>
      </w:tr>
    </w:tbl>
    <w:p>
      <w:pPr>
        <w:pStyle w:val="TextBody"/>
        <w:bidi w:val="0"/>
        <w:spacing w:before="120" w:after="0"/>
        <w:jc w:val="left"/>
        <w:rPr>
          <w:rFonts w:ascii="ARIAL" w:hAnsi="ARIAL"/>
          <w:b/>
          <w:sz w:val="20"/>
        </w:rPr>
      </w:pPr>
      <w:r>
        <w:rPr>
          <w:rFonts w:ascii="ARIAL" w:hAnsi="ARIAL"/>
          <w:b/>
          <w:sz w:val="20"/>
        </w:rPr>
        <w:t xml:space="preserve">This proxy is being solicited on behalf of the Board of Directors </w:t>
      </w:r>
    </w:p>
    <w:p>
      <w:pPr>
        <w:pStyle w:val="TextBody"/>
        <w:bidi w:val="0"/>
        <w:spacing w:before="60" w:after="0"/>
        <w:jc w:val="left"/>
        <w:rPr>
          <w:rFonts w:ascii="ARIAL" w:hAnsi="ARIAL"/>
          <w:sz w:val="16"/>
        </w:rPr>
      </w:pPr>
      <w:r>
        <w:rPr>
          <w:rFonts w:ascii="ARIAL" w:hAnsi="ARIAL"/>
          <w:sz w:val="16"/>
        </w:rPr>
        <w:t xml:space="preserve">The undersigned hereby appoints Karole F. Lloyd and Paul C. Varga (the “Named Proxies”), and each or either of them, as the true and lawful attorneys of the undersigned, with full power of substitution and revocation, and authorizes them, and each of them, to vote all the shares of capital stock of Churchill Downs Incorporated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p>
    <w:p>
      <w:pPr>
        <w:pStyle w:val="TextBody"/>
        <w:bidi w:val="0"/>
        <w:spacing w:before="120" w:after="0"/>
        <w:jc w:val="left"/>
        <w:rPr>
          <w:rFonts w:ascii="ARIAL" w:hAnsi="ARIAL"/>
          <w:sz w:val="16"/>
        </w:rPr>
      </w:pPr>
      <w:r>
        <w:rPr>
          <w:rFonts w:ascii="ARIAL" w:hAnsi="ARIAL"/>
          <w:sz w:val="16"/>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120" w:after="0"/>
        <w:jc w:val="left"/>
        <w:rPr>
          <w:rFonts w:ascii="ARIAL" w:hAnsi="ARIAL"/>
          <w:sz w:val="16"/>
        </w:rPr>
      </w:pPr>
      <w:r>
        <w:rPr>
          <w:rFonts w:ascii="ARIAL" w:hAnsi="ARIAL"/>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1200" w:after="0"/>
        <w:jc w:val="center"/>
        <w:rPr>
          <w:rFonts w:ascii="ARIAL" w:hAnsi="ARIAL"/>
          <w:sz w:val="16"/>
        </w:rPr>
      </w:pPr>
      <w:r>
        <w:rPr>
          <w:rFonts w:ascii="ARIAL" w:hAnsi="ARIAL"/>
          <w:sz w:val="16"/>
        </w:rPr>
        <w:t xml:space="preserve">PLEASE BE SURE TO SIGN AND DATE THIS PROXY CARD AND MARK ON THE REVERSE SIDE </w:t>
      </w:r>
    </w:p>
    <w:p>
      <w:pPr>
        <w:pStyle w:val="TextBody"/>
        <w:bidi w:val="0"/>
        <w:spacing w:before="200" w:after="0"/>
        <w:jc w:val="right"/>
        <w:rPr>
          <w:rFonts w:ascii="ARIAL" w:hAnsi="ARIAL"/>
          <w:sz w:val="16"/>
        </w:rPr>
      </w:pPr>
      <w:r>
        <w:rPr>
          <w:rFonts w:ascii="ARIAL" w:hAnsi="ARIAL"/>
          <w:sz w:val="16"/>
        </w:rPr>
        <w:t xml:space="preserve">Copyright © 2026 BetaNXT, Inc. or its affiliates. All Rights Reserved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633" w:type="dxa"/>
        <w:jc w:val="left"/>
        <w:tblInd w:w="0" w:type="dxa"/>
        <w:tblLayout w:type="fixed"/>
        <w:tblCellMar>
          <w:top w:w="0" w:type="dxa"/>
          <w:left w:w="0" w:type="dxa"/>
          <w:bottom w:w="0" w:type="dxa"/>
          <w:right w:w="0" w:type="dxa"/>
        </w:tblCellMar>
      </w:tblPr>
      <w:tblGrid>
        <w:gridCol w:w="4485"/>
        <w:gridCol w:w="120"/>
        <w:gridCol w:w="23"/>
        <w:gridCol w:w="120"/>
        <w:gridCol w:w="5885"/>
      </w:tblGrid>
      <w:tr>
        <w:trPr/>
        <w:tc>
          <w:tcPr>
            <w:tcW w:w="4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85" w:type="dxa"/>
            <w:tcBorders/>
            <w:vAlign w:val="center"/>
          </w:tcPr>
          <w:p>
            <w:pPr>
              <w:pStyle w:val="TableContents"/>
              <w:bidi w:val="0"/>
              <w:spacing w:before="0" w:after="283"/>
              <w:jc w:val="left"/>
              <w:rPr>
                <w:sz w:val="4"/>
                <w:szCs w:val="4"/>
              </w:rPr>
            </w:pPr>
            <w:r>
              <w:rPr>
                <w:sz w:val="4"/>
                <w:szCs w:val="4"/>
              </w:rPr>
            </w:r>
          </w:p>
        </w:tc>
      </w:tr>
      <w:tr>
        <w:trPr/>
        <w:tc>
          <w:tcPr>
            <w:tcW w:w="4485" w:type="dxa"/>
            <w:tcBorders/>
            <w:vAlign w:val="center"/>
          </w:tcPr>
          <w:p>
            <w:pPr>
              <w:pStyle w:val="TableContents"/>
              <w:bidi w:val="0"/>
              <w:spacing w:before="0" w:after="283"/>
              <w:jc w:val="left"/>
              <w:rPr/>
            </w:pPr>
            <w:r>
              <w:rPr/>
              <w:drawing>
                <wp:inline distT="0" distB="0" distL="0" distR="0">
                  <wp:extent cx="2838450" cy="485775"/>
                  <wp:effectExtent l="0" t="0" r="0" b="0"/>
                  <wp:docPr id="116"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4" descr=""/>
                          <pic:cNvPicPr>
                            <a:picLocks noChangeAspect="1" noChangeArrowheads="1"/>
                          </pic:cNvPicPr>
                        </pic:nvPicPr>
                        <pic:blipFill>
                          <a:blip r:embed="rId115"/>
                          <a:stretch>
                            <a:fillRect/>
                          </a:stretch>
                        </pic:blipFill>
                        <pic:spPr bwMode="auto">
                          <a:xfrm>
                            <a:off x="0" y="0"/>
                            <a:ext cx="2838450" cy="4857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pPr>
            <w:r>
              <w:rPr/>
              <w:t> </w:t>
            </w:r>
          </w:p>
          <w:p>
            <w:pPr>
              <w:pStyle w:val="TableContents"/>
              <w:bidi w:val="0"/>
              <w:spacing w:before="0" w:after="0"/>
              <w:jc w:val="right"/>
              <w:rPr>
                <w:rFonts w:ascii="ARIAL" w:hAnsi="ARIAL"/>
                <w:b/>
                <w:sz w:val="20"/>
              </w:rPr>
            </w:pPr>
            <w:r>
              <w:rPr>
                <w:rFonts w:ascii="ARIAL" w:hAnsi="ARIAL"/>
                <w:b/>
                <w:sz w:val="20"/>
              </w:rPr>
              <w:t>Churchill Downs Incorporated Annual Meeting of Shareholders</w:t>
            </w:r>
          </w:p>
          <w:p>
            <w:pPr>
              <w:pStyle w:val="TableContents"/>
              <w:bidi w:val="0"/>
              <w:spacing w:before="0" w:after="20"/>
              <w:jc w:val="left"/>
              <w:rPr/>
            </w:pPr>
            <w:r>
              <w:rPr/>
              <w:t> </w:t>
            </w:r>
          </w:p>
        </w:tc>
      </w:tr>
    </w:tbl>
    <w:p>
      <w:pPr>
        <w:pStyle w:val="TextBody"/>
        <w:bidi w:val="0"/>
        <w:spacing w:before="0" w:after="0"/>
        <w:jc w:val="left"/>
        <w:rPr/>
      </w:pPr>
      <w:r>
        <w:rPr/>
        <w:t> </w:t>
      </w:r>
    </w:p>
    <w:tbl>
      <w:tblPr>
        <w:tblW w:w="4033" w:type="dxa"/>
        <w:jc w:val="left"/>
        <w:tblInd w:w="0" w:type="dxa"/>
        <w:tblLayout w:type="fixed"/>
        <w:tblCellMar>
          <w:top w:w="0" w:type="dxa"/>
          <w:left w:w="0" w:type="dxa"/>
          <w:bottom w:w="0" w:type="dxa"/>
          <w:right w:w="0" w:type="dxa"/>
        </w:tblCellMar>
      </w:tblPr>
      <w:tblGrid>
        <w:gridCol w:w="3440"/>
        <w:gridCol w:w="60"/>
        <w:gridCol w:w="435"/>
        <w:gridCol w:w="60"/>
        <w:gridCol w:w="38"/>
      </w:tblGrid>
      <w:tr>
        <w:trPr/>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rPr>
            </w:pPr>
            <w:r>
              <w:rPr>
                <w:b/>
              </w:rPr>
              <w:t>Please make your marks like this:</w:t>
            </w:r>
          </w:p>
        </w:tc>
        <w:tc>
          <w:tcPr>
            <w:tcW w:w="6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drawing>
                <wp:inline distT="0" distB="0" distL="0" distR="0">
                  <wp:extent cx="238125" cy="228600"/>
                  <wp:effectExtent l="0" t="0" r="0" b="0"/>
                  <wp:docPr id="117"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5" descr=""/>
                          <pic:cNvPicPr>
                            <a:picLocks noChangeAspect="1" noChangeArrowheads="1"/>
                          </pic:cNvPicPr>
                        </pic:nvPicPr>
                        <pic:blipFill>
                          <a:blip r:embed="rId116"/>
                          <a:stretch>
                            <a:fillRect/>
                          </a:stretch>
                        </pic:blipFill>
                        <pic:spPr bwMode="auto">
                          <a:xfrm>
                            <a:off x="0" y="0"/>
                            <a:ext cx="238125"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6"/>
        </w:rPr>
      </w:pPr>
      <w:r>
        <w:rPr>
          <w:rFonts w:ascii="ARIAL" w:hAnsi="ARIAL"/>
          <w:b/>
          <w:sz w:val="16"/>
        </w:rPr>
        <w:t>THE BOARD OF DIRECTORS RECOMMENDS A VOTE:</w:t>
      </w:r>
      <w:r>
        <w:rPr>
          <w:rFonts w:ascii="ARIAL" w:hAnsi="ARIAL"/>
          <w:sz w:val="16"/>
        </w:rPr>
        <w:t xml:space="preserve"> </w:t>
      </w:r>
    </w:p>
    <w:p>
      <w:pPr>
        <w:pStyle w:val="TextBody"/>
        <w:bidi w:val="0"/>
        <w:spacing w:before="40" w:after="0"/>
        <w:jc w:val="left"/>
        <w:rPr/>
      </w:pPr>
      <w:r>
        <w:rPr/>
        <w:t>   </w:t>
      </w:r>
      <w:r>
        <w:rPr>
          <w:rFonts w:ascii="ARIAL" w:hAnsi="ARIAL"/>
          <w:b/>
          <w:sz w:val="16"/>
        </w:rPr>
        <w:t>FOR</w:t>
      </w:r>
      <w:r>
        <w:rPr>
          <w:rFonts w:ascii="ARIAL" w:hAnsi="ARIAL"/>
          <w:sz w:val="16"/>
        </w:rPr>
        <w:t xml:space="preserve"> ON PROPOSALS 1, 2 AND 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3"/>
        <w:gridCol w:w="120"/>
        <w:gridCol w:w="5640"/>
        <w:gridCol w:w="60"/>
        <w:gridCol w:w="530"/>
        <w:gridCol w:w="60"/>
        <w:gridCol w:w="1400"/>
        <w:gridCol w:w="60"/>
        <w:gridCol w:w="1171"/>
        <w:gridCol w:w="60"/>
        <w:gridCol w:w="921"/>
      </w:tblGrid>
      <w:tr>
        <w:trPr/>
        <w:tc>
          <w:tcPr>
            <w:tcW w:w="1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pPr>
            <w:r>
              <w:rPr/>
              <w:t> </w:t>
            </w:r>
          </w:p>
        </w:tc>
        <w:tc>
          <w:tcPr>
            <w:tcW w:w="120" w:type="dxa"/>
            <w:tcBorders/>
            <w:shd w:fill="CCCCCC" w:val="clear"/>
            <w:vAlign w:val="center"/>
          </w:tcPr>
          <w:p>
            <w:pPr>
              <w:pStyle w:val="TableContents"/>
              <w:bidi w:val="0"/>
              <w:spacing w:before="0" w:after="283"/>
              <w:jc w:val="left"/>
              <w:rPr/>
            </w:pPr>
            <w:r>
              <w:rPr/>
              <w:t>  </w:t>
            </w:r>
          </w:p>
        </w:tc>
        <w:tc>
          <w:tcPr>
            <w:tcW w:w="5640" w:type="dxa"/>
            <w:tcBorders/>
            <w:shd w:fill="CCCCCC" w:val="clear"/>
            <w:vAlign w:val="center"/>
          </w:tcPr>
          <w:p>
            <w:pPr>
              <w:pStyle w:val="TableContents"/>
              <w:bidi w:val="0"/>
              <w:spacing w:before="0" w:after="0"/>
              <w:jc w:val="left"/>
              <w:rPr>
                <w:rFonts w:ascii="ARIAL" w:hAnsi="ARIAL"/>
                <w:b/>
                <w:sz w:val="12"/>
              </w:rPr>
            </w:pPr>
            <w:r>
              <w:rPr>
                <w:rFonts w:ascii="ARIAL" w:hAnsi="ARIAL"/>
                <w:b/>
                <w:sz w:val="12"/>
              </w:rPr>
              <w:t>PROPOSAL</w:t>
            </w:r>
          </w:p>
          <w:p>
            <w:pPr>
              <w:pStyle w:val="TableContents"/>
              <w:bidi w:val="0"/>
              <w:spacing w:before="0" w:after="20"/>
              <w:jc w:val="left"/>
              <w:rPr/>
            </w:pPr>
            <w:r>
              <w:rPr/>
              <w:t> </w:t>
            </w:r>
          </w:p>
        </w:tc>
        <w:tc>
          <w:tcPr>
            <w:tcW w:w="60" w:type="dxa"/>
            <w:tcBorders/>
            <w:shd w:fill="CCCCCC" w:val="clear"/>
            <w:vAlign w:val="center"/>
          </w:tcPr>
          <w:p>
            <w:pPr>
              <w:pStyle w:val="TableContents"/>
              <w:bidi w:val="0"/>
              <w:spacing w:before="0" w:after="283"/>
              <w:jc w:val="left"/>
              <w:rPr/>
            </w:pPr>
            <w:r>
              <w:rPr/>
              <w:t> </w:t>
            </w:r>
          </w:p>
        </w:tc>
        <w:tc>
          <w:tcPr>
            <w:tcW w:w="530" w:type="dxa"/>
            <w:tcBorders/>
            <w:shd w:fill="CCCCCC" w:val="clear"/>
            <w:vAlign w:val="center"/>
          </w:tcPr>
          <w:p>
            <w:pPr>
              <w:pStyle w:val="TableContents"/>
              <w:bidi w:val="0"/>
              <w:spacing w:before="0" w:after="283"/>
              <w:jc w:val="left"/>
              <w:rPr/>
            </w:pPr>
            <w:r>
              <w:rPr/>
              <w:t> </w:t>
            </w:r>
          </w:p>
        </w:tc>
        <w:tc>
          <w:tcPr>
            <w:tcW w:w="60" w:type="dxa"/>
            <w:tcBorders/>
            <w:shd w:fill="CCCCCC" w:val="clear"/>
            <w:vAlign w:val="center"/>
          </w:tcPr>
          <w:p>
            <w:pPr>
              <w:pStyle w:val="TableContents"/>
              <w:bidi w:val="0"/>
              <w:spacing w:before="0" w:after="283"/>
              <w:jc w:val="left"/>
              <w:rPr/>
            </w:pPr>
            <w:r>
              <w:rPr/>
              <w:t> </w:t>
            </w:r>
          </w:p>
        </w:tc>
        <w:tc>
          <w:tcPr>
            <w:tcW w:w="1400" w:type="dxa"/>
            <w:tcBorders/>
            <w:shd w:fill="CCCCCC" w:val="clear"/>
            <w:vAlign w:val="center"/>
          </w:tcPr>
          <w:p>
            <w:pPr>
              <w:pStyle w:val="TableContents"/>
              <w:bidi w:val="0"/>
              <w:spacing w:before="0" w:after="0"/>
              <w:jc w:val="center"/>
              <w:rPr>
                <w:rFonts w:ascii="ARIAL" w:hAnsi="ARIAL"/>
                <w:b/>
                <w:sz w:val="12"/>
              </w:rPr>
            </w:pPr>
            <w:r>
              <w:rPr>
                <w:rFonts w:ascii="ARIAL" w:hAnsi="ARIAL"/>
                <w:b/>
                <w:sz w:val="12"/>
              </w:rPr>
              <w:t>YOUR</w:t>
              <w:br/>
              <w:t>VOTE</w:t>
            </w:r>
          </w:p>
          <w:p>
            <w:pPr>
              <w:pStyle w:val="TableContents"/>
              <w:bidi w:val="0"/>
              <w:spacing w:before="0" w:after="20"/>
              <w:jc w:val="left"/>
              <w:rPr/>
            </w:pPr>
            <w:r>
              <w:rPr/>
              <w:t> </w:t>
            </w:r>
          </w:p>
        </w:tc>
        <w:tc>
          <w:tcPr>
            <w:tcW w:w="60" w:type="dxa"/>
            <w:tcBorders/>
            <w:shd w:fill="CCCCCC" w:val="clear"/>
            <w:vAlign w:val="center"/>
          </w:tcPr>
          <w:p>
            <w:pPr>
              <w:pStyle w:val="TableContents"/>
              <w:bidi w:val="0"/>
              <w:spacing w:before="0" w:after="283"/>
              <w:jc w:val="left"/>
              <w:rPr/>
            </w:pPr>
            <w:r>
              <w:rPr/>
              <w:t> </w:t>
            </w:r>
          </w:p>
        </w:tc>
        <w:tc>
          <w:tcPr>
            <w:tcW w:w="1171" w:type="dxa"/>
            <w:tcBorders>
              <w:right w:val="single" w:sz="6" w:space="0" w:color="000000"/>
            </w:tcBorders>
            <w:shd w:fill="CCCCCC" w:val="clear"/>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0"/>
              <w:jc w:val="center"/>
              <w:rPr>
                <w:rFonts w:ascii="ARIAL" w:hAnsi="ARIAL"/>
                <w:b/>
                <w:sz w:val="12"/>
              </w:rPr>
            </w:pPr>
            <w:r>
              <w:rPr>
                <w:rFonts w:ascii="ARIAL" w:hAnsi="ARIAL"/>
                <w:b/>
                <w:sz w:val="12"/>
              </w:rPr>
              <w:t>BOARD OF</w:t>
              <w:br/>
              <w:t>DIRECTORS</w:t>
              <w:br/>
              <w:t>RECOMMENDS</w:t>
            </w:r>
          </w:p>
        </w:tc>
      </w:tr>
      <w:tr>
        <w:trPr/>
        <w:tc>
          <w:tcPr>
            <w:tcW w:w="183" w:type="dxa"/>
            <w:tcBorders/>
            <w:vAlign w:val="center"/>
          </w:tcPr>
          <w:p>
            <w:pPr>
              <w:pStyle w:val="TableContents"/>
              <w:bidi w:val="0"/>
              <w:spacing w:before="0" w:after="283"/>
              <w:jc w:val="left"/>
              <w:rPr>
                <w:sz w:val="4"/>
                <w:szCs w:val="4"/>
              </w:rPr>
            </w:pPr>
            <w:r>
              <w:rPr>
                <w:sz w:val="4"/>
                <w:szCs w:val="4"/>
              </w:rPr>
            </w:r>
          </w:p>
        </w:tc>
        <w:tc>
          <w:tcPr>
            <w:tcW w:w="5760"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123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1" w:type="dxa"/>
            <w:gridSpan w:val="2"/>
            <w:tcBorders/>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pPr>
            <w:r>
              <w:rPr/>
              <w:t>1.</w:t>
            </w:r>
          </w:p>
        </w:tc>
        <w:tc>
          <w:tcPr>
            <w:tcW w:w="120" w:type="dxa"/>
            <w:tcBorders/>
            <w:vAlign w:val="center"/>
          </w:tcPr>
          <w:p>
            <w:pPr>
              <w:pStyle w:val="TableContents"/>
              <w:bidi w:val="0"/>
              <w:spacing w:before="0" w:after="283"/>
              <w:jc w:val="left"/>
              <w:rPr/>
            </w:pPr>
            <w:r>
              <w:rPr/>
              <w:t>  </w:t>
            </w:r>
          </w:p>
        </w:tc>
        <w:tc>
          <w:tcPr>
            <w:tcW w:w="5640" w:type="dxa"/>
            <w:tcBorders/>
            <w:vAlign w:val="center"/>
          </w:tcPr>
          <w:p>
            <w:pPr>
              <w:pStyle w:val="TableContents"/>
              <w:bidi w:val="0"/>
              <w:spacing w:before="0" w:after="283"/>
              <w:jc w:val="left"/>
              <w:rPr/>
            </w:pPr>
            <w:r>
              <w:rPr/>
              <w:t>Election of Class III Directors</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1"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921" w:type="dxa"/>
            <w:vMerge w:val="restart"/>
            <w:tcBorders/>
            <w:vAlign w:val="center"/>
          </w:tcPr>
          <w:p>
            <w:pPr>
              <w:pStyle w:val="TableContents"/>
              <w:bidi w:val="0"/>
              <w:spacing w:before="0" w:after="283"/>
              <w:jc w:val="center"/>
              <w:rPr/>
            </w:pPr>
            <w:r>
              <w:rPr/>
              <w:drawing>
                <wp:inline distT="0" distB="0" distL="0" distR="0">
                  <wp:extent cx="419100" cy="438150"/>
                  <wp:effectExtent l="0" t="0" r="0" b="0"/>
                  <wp:docPr id="11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6" descr=""/>
                          <pic:cNvPicPr>
                            <a:picLocks noChangeAspect="1" noChangeArrowheads="1"/>
                          </pic:cNvPicPr>
                        </pic:nvPicPr>
                        <pic:blipFill>
                          <a:blip r:embed="rId117"/>
                          <a:stretch>
                            <a:fillRect/>
                          </a:stretch>
                        </pic:blipFill>
                        <pic:spPr bwMode="auto">
                          <a:xfrm>
                            <a:off x="0" y="0"/>
                            <a:ext cx="419100" cy="438150"/>
                          </a:xfrm>
                          <a:prstGeom prst="rect">
                            <a:avLst/>
                          </a:prstGeom>
                        </pic:spPr>
                      </pic:pic>
                    </a:graphicData>
                  </a:graphic>
                </wp:inline>
              </w:drawing>
            </w:r>
            <w:r>
              <w:rPr/>
              <w:t xml:space="preserve"> </w:t>
            </w:r>
          </w:p>
        </w:tc>
      </w:tr>
      <w:tr>
        <w:trPr/>
        <w:tc>
          <w:tcPr>
            <w:tcW w:w="18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b/>
              </w:rPr>
            </w:pPr>
            <w:r>
              <w:rPr>
                <w:b/>
              </w:rPr>
              <w:t>WITHHOLD</w:t>
            </w:r>
          </w:p>
        </w:tc>
        <w:tc>
          <w:tcPr>
            <w:tcW w:w="60" w:type="dxa"/>
            <w:tcBorders/>
            <w:vAlign w:val="center"/>
          </w:tcPr>
          <w:p>
            <w:pPr>
              <w:pStyle w:val="TableContents"/>
              <w:bidi w:val="0"/>
              <w:spacing w:before="0" w:after="283"/>
              <w:jc w:val="left"/>
              <w:rPr/>
            </w:pPr>
            <w:r>
              <w:rPr/>
              <w:t> </w:t>
            </w:r>
          </w:p>
        </w:tc>
        <w:tc>
          <w:tcPr>
            <w:tcW w:w="1171"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921" w:type="dxa"/>
            <w:vMerge w:val="continue"/>
            <w:tcBorders/>
            <w:vAlign w:val="center"/>
          </w:tcPr>
          <w:p>
            <w:pPr>
              <w:pStyle w:val="Normal"/>
              <w:bidi w:val="0"/>
              <w:jc w:val="left"/>
              <w:rPr/>
            </w:pPr>
            <w:r>
              <w:rPr/>
            </w:r>
          </w:p>
        </w:tc>
      </w:tr>
      <w:tr>
        <w:trPr/>
        <w:tc>
          <w:tcPr>
            <w:tcW w:w="183" w:type="dxa"/>
            <w:tcBorders/>
            <w:vAlign w:val="center"/>
          </w:tcPr>
          <w:p>
            <w:pPr>
              <w:pStyle w:val="TableContents"/>
              <w:bidi w:val="0"/>
              <w:spacing w:before="0" w:after="283"/>
              <w:jc w:val="left"/>
              <w:rPr>
                <w:sz w:val="4"/>
                <w:szCs w:val="4"/>
              </w:rPr>
            </w:pPr>
            <w:r>
              <w:rPr>
                <w:sz w:val="4"/>
                <w:szCs w:val="4"/>
              </w:rPr>
            </w:r>
          </w:p>
        </w:tc>
        <w:tc>
          <w:tcPr>
            <w:tcW w:w="5760"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123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1" w:type="dxa"/>
            <w:gridSpan w:val="2"/>
            <w:tcBorders/>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40" w:type="dxa"/>
            <w:tcBorders/>
            <w:vAlign w:val="center"/>
          </w:tcPr>
          <w:p>
            <w:pPr>
              <w:pStyle w:val="TableContents"/>
              <w:bidi w:val="0"/>
              <w:spacing w:before="0" w:after="283"/>
              <w:jc w:val="left"/>
              <w:rPr>
                <w:sz w:val="16"/>
              </w:rPr>
            </w:pPr>
            <w:r>
              <w:rPr>
                <w:sz w:val="16"/>
              </w:rPr>
              <w:t>1.01 Douglas C. Grissom</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71"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b/>
                <w:sz w:val="16"/>
              </w:rPr>
            </w:pPr>
            <w:r>
              <w:rPr>
                <w:b/>
                <w:sz w:val="16"/>
              </w:rPr>
              <w:t>FOR</w:t>
            </w:r>
          </w:p>
        </w:tc>
      </w:tr>
      <w:tr>
        <w:trPr/>
        <w:tc>
          <w:tcPr>
            <w:tcW w:w="183" w:type="dxa"/>
            <w:tcBorders/>
            <w:vAlign w:val="center"/>
          </w:tcPr>
          <w:p>
            <w:pPr>
              <w:pStyle w:val="TableContents"/>
              <w:bidi w:val="0"/>
              <w:spacing w:before="0" w:after="283"/>
              <w:jc w:val="left"/>
              <w:rPr>
                <w:sz w:val="4"/>
                <w:szCs w:val="4"/>
              </w:rPr>
            </w:pPr>
            <w:r>
              <w:rPr>
                <w:sz w:val="4"/>
                <w:szCs w:val="4"/>
              </w:rPr>
            </w:r>
          </w:p>
        </w:tc>
        <w:tc>
          <w:tcPr>
            <w:tcW w:w="5760"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123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1" w:type="dxa"/>
            <w:gridSpan w:val="2"/>
            <w:tcBorders/>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40" w:type="dxa"/>
            <w:tcBorders/>
            <w:vAlign w:val="center"/>
          </w:tcPr>
          <w:p>
            <w:pPr>
              <w:pStyle w:val="TableContents"/>
              <w:bidi w:val="0"/>
              <w:spacing w:before="0" w:after="283"/>
              <w:jc w:val="left"/>
              <w:rPr>
                <w:sz w:val="16"/>
              </w:rPr>
            </w:pPr>
            <w:r>
              <w:rPr>
                <w:sz w:val="16"/>
              </w:rPr>
              <w:t>1.02 Daniel P. Harrington</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71"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b/>
                <w:sz w:val="16"/>
              </w:rPr>
            </w:pPr>
            <w:r>
              <w:rPr>
                <w:b/>
                <w:sz w:val="16"/>
              </w:rPr>
              <w:t>FOR</w:t>
            </w:r>
          </w:p>
        </w:tc>
      </w:tr>
      <w:tr>
        <w:trPr/>
        <w:tc>
          <w:tcPr>
            <w:tcW w:w="183" w:type="dxa"/>
            <w:tcBorders/>
            <w:vAlign w:val="center"/>
          </w:tcPr>
          <w:p>
            <w:pPr>
              <w:pStyle w:val="TableContents"/>
              <w:bidi w:val="0"/>
              <w:spacing w:before="0" w:after="283"/>
              <w:jc w:val="left"/>
              <w:rPr>
                <w:sz w:val="4"/>
                <w:szCs w:val="4"/>
              </w:rPr>
            </w:pPr>
            <w:r>
              <w:rPr>
                <w:sz w:val="4"/>
                <w:szCs w:val="4"/>
              </w:rPr>
            </w:r>
          </w:p>
        </w:tc>
        <w:tc>
          <w:tcPr>
            <w:tcW w:w="5760"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123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1" w:type="dxa"/>
            <w:gridSpan w:val="2"/>
            <w:tcBorders/>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1"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1171" w:type="dxa"/>
            <w:tcBorders>
              <w:right w:val="single" w:sz="6" w:space="0" w:color="000000"/>
            </w:tcBorders>
            <w:tcMar>
              <w:right w:w="28" w:type="dxa"/>
            </w:tcMar>
            <w:vAlign w:val="center"/>
          </w:tcPr>
          <w:p>
            <w:pPr>
              <w:pStyle w:val="TableContents"/>
              <w:bidi w:val="0"/>
              <w:spacing w:before="0" w:after="283"/>
              <w:jc w:val="center"/>
              <w:rPr>
                <w:b/>
              </w:rPr>
            </w:pPr>
            <w:r>
              <w:rPr>
                <w:b/>
              </w:rPr>
              <w:t>ABSTAIN </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r>
      <w:tr>
        <w:trPr/>
        <w:tc>
          <w:tcPr>
            <w:tcW w:w="183" w:type="dxa"/>
            <w:tcBorders/>
            <w:vAlign w:val="center"/>
          </w:tcPr>
          <w:p>
            <w:pPr>
              <w:pStyle w:val="TableContents"/>
              <w:bidi w:val="0"/>
              <w:spacing w:before="0" w:after="283"/>
              <w:jc w:val="left"/>
              <w:rPr>
                <w:sz w:val="16"/>
              </w:rPr>
            </w:pPr>
            <w:r>
              <w:rPr>
                <w:sz w:val="16"/>
              </w:rPr>
              <w:t>2.</w:t>
            </w:r>
          </w:p>
        </w:tc>
        <w:tc>
          <w:tcPr>
            <w:tcW w:w="120" w:type="dxa"/>
            <w:tcBorders/>
            <w:vAlign w:val="center"/>
          </w:tcPr>
          <w:p>
            <w:pPr>
              <w:pStyle w:val="TableContents"/>
              <w:bidi w:val="0"/>
              <w:spacing w:before="0" w:after="283"/>
              <w:jc w:val="left"/>
              <w:rPr/>
            </w:pPr>
            <w:r>
              <w:rPr/>
              <w:t>  </w:t>
            </w:r>
          </w:p>
        </w:tc>
        <w:tc>
          <w:tcPr>
            <w:tcW w:w="5640" w:type="dxa"/>
            <w:tcBorders/>
            <w:vAlign w:val="center"/>
          </w:tcPr>
          <w:p>
            <w:pPr>
              <w:pStyle w:val="TableContents"/>
              <w:bidi w:val="0"/>
              <w:spacing w:before="0" w:after="283"/>
              <w:jc w:val="left"/>
              <w:rPr>
                <w:sz w:val="16"/>
              </w:rPr>
            </w:pPr>
            <w:r>
              <w:rPr>
                <w:sz w:val="16"/>
              </w:rPr>
              <w:t>To ratify the appointment of PricewaterhouseCoopers LLP as the Company’s independent registered public accounting firm for fiscal year 2026.</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71" w:type="dxa"/>
            <w:tcBorders>
              <w:right w:val="single" w:sz="6" w:space="0" w:color="000000"/>
            </w:tcBorders>
            <w:tcMar>
              <w:right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b/>
                <w:sz w:val="16"/>
              </w:rPr>
            </w:pPr>
            <w:r>
              <w:rPr>
                <w:b/>
                <w:sz w:val="16"/>
              </w:rPr>
              <w:t>FOR</w:t>
            </w:r>
          </w:p>
        </w:tc>
      </w:tr>
      <w:tr>
        <w:trPr/>
        <w:tc>
          <w:tcPr>
            <w:tcW w:w="183" w:type="dxa"/>
            <w:tcBorders/>
            <w:vAlign w:val="center"/>
          </w:tcPr>
          <w:p>
            <w:pPr>
              <w:pStyle w:val="TableContents"/>
              <w:bidi w:val="0"/>
              <w:spacing w:before="0" w:after="283"/>
              <w:jc w:val="left"/>
              <w:rPr>
                <w:sz w:val="4"/>
                <w:szCs w:val="4"/>
              </w:rPr>
            </w:pPr>
            <w:r>
              <w:rPr>
                <w:sz w:val="4"/>
                <w:szCs w:val="4"/>
              </w:rPr>
            </w:r>
          </w:p>
        </w:tc>
        <w:tc>
          <w:tcPr>
            <w:tcW w:w="5760"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123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1" w:type="dxa"/>
            <w:gridSpan w:val="2"/>
            <w:tcBorders/>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sz w:val="16"/>
              </w:rPr>
            </w:pPr>
            <w:r>
              <w:rPr>
                <w:sz w:val="16"/>
              </w:rPr>
              <w:t>3.</w:t>
            </w:r>
          </w:p>
        </w:tc>
        <w:tc>
          <w:tcPr>
            <w:tcW w:w="120" w:type="dxa"/>
            <w:tcBorders/>
            <w:vAlign w:val="center"/>
          </w:tcPr>
          <w:p>
            <w:pPr>
              <w:pStyle w:val="TableContents"/>
              <w:bidi w:val="0"/>
              <w:spacing w:before="0" w:after="283"/>
              <w:jc w:val="left"/>
              <w:rPr/>
            </w:pPr>
            <w:r>
              <w:rPr/>
              <w:t>  </w:t>
            </w:r>
          </w:p>
        </w:tc>
        <w:tc>
          <w:tcPr>
            <w:tcW w:w="5640" w:type="dxa"/>
            <w:tcBorders/>
            <w:vAlign w:val="center"/>
          </w:tcPr>
          <w:p>
            <w:pPr>
              <w:pStyle w:val="TableContents"/>
              <w:bidi w:val="0"/>
              <w:spacing w:before="0" w:after="283"/>
              <w:jc w:val="left"/>
              <w:rPr>
                <w:sz w:val="16"/>
              </w:rPr>
            </w:pPr>
            <w:r>
              <w:rPr>
                <w:sz w:val="16"/>
              </w:rPr>
              <w:t>To approve, on a non-binding advisory basis, the Company’s executive compensation as disclosed in the proxy statement.</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71" w:type="dxa"/>
            <w:tcBorders>
              <w:right w:val="single" w:sz="6" w:space="0" w:color="000000"/>
            </w:tcBorders>
            <w:tcMar>
              <w:right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b/>
                <w:sz w:val="16"/>
              </w:rPr>
            </w:pPr>
            <w:r>
              <w:rPr>
                <w:b/>
                <w:sz w:val="16"/>
              </w:rPr>
              <w:t>FOR</w:t>
            </w:r>
          </w:p>
        </w:tc>
      </w:tr>
    </w:tbl>
    <w:p>
      <w:pPr>
        <w:pStyle w:val="TextBody"/>
        <w:bidi w:val="0"/>
        <w:spacing w:before="0" w:after="0"/>
        <w:jc w:val="left"/>
        <w:rPr/>
      </w:pPr>
      <w:r>
        <w:rPr/>
        <w:t> </w:t>
      </w:r>
    </w:p>
    <w:p>
      <w:pPr>
        <w:pStyle w:val="TextBody"/>
        <w:bidi w:val="0"/>
        <w:spacing w:before="2400" w:after="0"/>
        <w:jc w:val="left"/>
        <w:rPr>
          <w:rFonts w:ascii="ARIAL" w:hAnsi="ARIAL"/>
          <w:b/>
          <w:sz w:val="16"/>
        </w:rPr>
      </w:pPr>
      <w:r>
        <w:rPr>
          <w:rFonts w:ascii="ARIAL" w:hAnsi="ARIAL"/>
          <w:b/>
          <w:sz w:val="16"/>
        </w:rPr>
        <w:t xml:space="preserve">You must register to attend the meeting online and/or participate at www.proxydocs.com/CHDN </w:t>
      </w:r>
    </w:p>
    <w:p>
      <w:pPr>
        <w:pStyle w:val="TextBody"/>
        <w:bidi w:val="0"/>
        <w:spacing w:before="0" w:after="0"/>
        <w:jc w:val="left"/>
        <w:rPr>
          <w:rFonts w:ascii="ARIAL" w:hAnsi="ARIAL"/>
          <w:sz w:val="16"/>
        </w:rPr>
      </w:pPr>
      <w:r>
        <w:rPr>
          <w:rFonts w:ascii="ARIAL" w:hAnsi="ARIAL"/>
          <w:sz w:val="16"/>
        </w:rPr>
        <w:t xml:space="preserve">Authorized Signatures - Must be completed for your instructions to be executed. </w:t>
      </w:r>
    </w:p>
    <w:p>
      <w:pPr>
        <w:pStyle w:val="TextBody"/>
        <w:bidi w:val="0"/>
        <w:spacing w:before="0" w:after="0"/>
        <w:jc w:val="left"/>
        <w:rPr>
          <w:rFonts w:ascii="ARIAL" w:hAnsi="ARIAL"/>
          <w:sz w:val="16"/>
        </w:rPr>
      </w:pPr>
      <w:r>
        <w:rPr>
          <w:rFonts w:ascii="ARIAL" w:hAnsi="ARIAL"/>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8968" w:type="dxa"/>
        <w:jc w:val="left"/>
        <w:tblInd w:w="0" w:type="dxa"/>
        <w:tblLayout w:type="fixed"/>
        <w:tblCellMar>
          <w:top w:w="0" w:type="dxa"/>
          <w:left w:w="0" w:type="dxa"/>
          <w:bottom w:w="0" w:type="dxa"/>
          <w:right w:w="0" w:type="dxa"/>
        </w:tblCellMar>
      </w:tblPr>
      <w:tblGrid>
        <w:gridCol w:w="3200"/>
        <w:gridCol w:w="120"/>
        <w:gridCol w:w="1430"/>
        <w:gridCol w:w="120"/>
        <w:gridCol w:w="23"/>
        <w:gridCol w:w="120"/>
        <w:gridCol w:w="2390"/>
        <w:gridCol w:w="120"/>
        <w:gridCol w:w="1445"/>
      </w:tblGrid>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5" w:type="dxa"/>
            <w:gridSpan w:val="3"/>
            <w:tcBorders/>
            <w:vAlign w:val="center"/>
          </w:tcPr>
          <w:p>
            <w:pPr>
              <w:pStyle w:val="TableContents"/>
              <w:pBdr>
                <w:top w:val="single" w:sz="2" w:space="1" w:color="000000"/>
              </w:pBdr>
              <w:bidi w:val="0"/>
              <w:spacing w:before="0" w:after="0"/>
              <w:jc w:val="left"/>
              <w:rPr/>
            </w:pPr>
            <w:r>
              <w:rPr/>
              <w:t> </w:t>
            </w:r>
          </w:p>
        </w:tc>
      </w:tr>
      <w:tr>
        <w:trPr/>
        <w:tc>
          <w:tcPr>
            <w:tcW w:w="3200" w:type="dxa"/>
            <w:tcBorders/>
            <w:vAlign w:val="center"/>
          </w:tcPr>
          <w:p>
            <w:pPr>
              <w:pStyle w:val="TableContents"/>
              <w:bidi w:val="0"/>
              <w:spacing w:before="0" w:after="283"/>
              <w:jc w:val="left"/>
              <w:rPr/>
            </w:pPr>
            <w:r>
              <w:rPr/>
              <w:t>Signature (and Title if applicable)</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Date    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Signature (if held jointly)</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Date    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5.jpeg"/><Relationship Id="rId12" Type="http://schemas.openxmlformats.org/officeDocument/2006/relationships/image" Target="media/image10.jpeg"/><Relationship Id="rId13" Type="http://schemas.openxmlformats.org/officeDocument/2006/relationships/image" Target="media/image10.jpeg"/><Relationship Id="rId14" Type="http://schemas.openxmlformats.org/officeDocument/2006/relationships/image" Target="media/image10.jpeg"/><Relationship Id="rId15" Type="http://schemas.openxmlformats.org/officeDocument/2006/relationships/image" Target="media/image10.jpeg"/><Relationship Id="rId16" Type="http://schemas.openxmlformats.org/officeDocument/2006/relationships/image" Target="media/image10.jpeg"/><Relationship Id="rId17" Type="http://schemas.openxmlformats.org/officeDocument/2006/relationships/image" Target="media/image10.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0.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0.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0.jpeg"/><Relationship Id="rId27" Type="http://schemas.openxmlformats.org/officeDocument/2006/relationships/image" Target="media/image16.jpe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image" Target="media/image10.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jpeg"/><Relationship Id="rId34" Type="http://schemas.openxmlformats.org/officeDocument/2006/relationships/image" Target="media/image22.jpeg"/><Relationship Id="rId35" Type="http://schemas.openxmlformats.org/officeDocument/2006/relationships/image" Target="media/image23.jpeg"/><Relationship Id="rId36" Type="http://schemas.openxmlformats.org/officeDocument/2006/relationships/image" Target="media/image24.jpeg"/><Relationship Id="rId37" Type="http://schemas.openxmlformats.org/officeDocument/2006/relationships/image" Target="media/image25.jpeg"/><Relationship Id="rId38" Type="http://schemas.openxmlformats.org/officeDocument/2006/relationships/image" Target="media/image26.jpeg"/><Relationship Id="rId39" Type="http://schemas.openxmlformats.org/officeDocument/2006/relationships/image" Target="media/image27.jpeg"/><Relationship Id="rId40" Type="http://schemas.openxmlformats.org/officeDocument/2006/relationships/image" Target="media/image28.jpeg"/><Relationship Id="rId41" Type="http://schemas.openxmlformats.org/officeDocument/2006/relationships/image" Target="media/image29.jpeg"/><Relationship Id="rId42" Type="http://schemas.openxmlformats.org/officeDocument/2006/relationships/image" Target="media/image30.jpeg"/><Relationship Id="rId43" Type="http://schemas.openxmlformats.org/officeDocument/2006/relationships/image" Target="media/image31.jpeg"/><Relationship Id="rId44" Type="http://schemas.openxmlformats.org/officeDocument/2006/relationships/image" Target="media/image32.jpeg"/><Relationship Id="rId45" Type="http://schemas.openxmlformats.org/officeDocument/2006/relationships/image" Target="media/image10.jpeg"/><Relationship Id="rId46" Type="http://schemas.openxmlformats.org/officeDocument/2006/relationships/image" Target="media/image10.jpeg"/><Relationship Id="rId47" Type="http://schemas.openxmlformats.org/officeDocument/2006/relationships/image" Target="media/image10.jpeg"/><Relationship Id="rId48" Type="http://schemas.openxmlformats.org/officeDocument/2006/relationships/image" Target="media/image10.jpeg"/><Relationship Id="rId49" Type="http://schemas.openxmlformats.org/officeDocument/2006/relationships/image" Target="media/image33.jpeg"/><Relationship Id="rId50" Type="http://schemas.openxmlformats.org/officeDocument/2006/relationships/image" Target="media/image33.jpeg"/><Relationship Id="rId51" Type="http://schemas.openxmlformats.org/officeDocument/2006/relationships/image" Target="media/image33.jpeg"/><Relationship Id="rId52" Type="http://schemas.openxmlformats.org/officeDocument/2006/relationships/image" Target="media/image33.jpeg"/><Relationship Id="rId53" Type="http://schemas.openxmlformats.org/officeDocument/2006/relationships/image" Target="media/image10.jpeg"/><Relationship Id="rId54" Type="http://schemas.openxmlformats.org/officeDocument/2006/relationships/image" Target="media/image10.jpeg"/><Relationship Id="rId55" Type="http://schemas.openxmlformats.org/officeDocument/2006/relationships/image" Target="media/image10.jpeg"/><Relationship Id="rId56" Type="http://schemas.openxmlformats.org/officeDocument/2006/relationships/image" Target="media/image10.jpeg"/><Relationship Id="rId57" Type="http://schemas.openxmlformats.org/officeDocument/2006/relationships/image" Target="media/image10.jpeg"/><Relationship Id="rId58" Type="http://schemas.openxmlformats.org/officeDocument/2006/relationships/image" Target="media/image11.jpeg"/><Relationship Id="rId59" Type="http://schemas.openxmlformats.org/officeDocument/2006/relationships/image" Target="media/image10.jpeg"/><Relationship Id="rId60" Type="http://schemas.openxmlformats.org/officeDocument/2006/relationships/image" Target="media/image10.jpeg"/><Relationship Id="rId61" Type="http://schemas.openxmlformats.org/officeDocument/2006/relationships/image" Target="media/image10.jpeg"/><Relationship Id="rId62" Type="http://schemas.openxmlformats.org/officeDocument/2006/relationships/image" Target="media/image10.jpeg"/><Relationship Id="rId63" Type="http://schemas.openxmlformats.org/officeDocument/2006/relationships/image" Target="media/image11.jpeg"/><Relationship Id="rId64" Type="http://schemas.openxmlformats.org/officeDocument/2006/relationships/image" Target="media/image10.jpeg"/><Relationship Id="rId65" Type="http://schemas.openxmlformats.org/officeDocument/2006/relationships/image" Target="media/image10.jpeg"/><Relationship Id="rId66" Type="http://schemas.openxmlformats.org/officeDocument/2006/relationships/image" Target="media/image10.jpeg"/><Relationship Id="rId67" Type="http://schemas.openxmlformats.org/officeDocument/2006/relationships/image" Target="media/image10.jpeg"/><Relationship Id="rId68" Type="http://schemas.openxmlformats.org/officeDocument/2006/relationships/image" Target="media/image10.jpeg"/><Relationship Id="rId69" Type="http://schemas.openxmlformats.org/officeDocument/2006/relationships/image" Target="media/image10.jpeg"/><Relationship Id="rId70" Type="http://schemas.openxmlformats.org/officeDocument/2006/relationships/image" Target="media/image10.jpeg"/><Relationship Id="rId71" Type="http://schemas.openxmlformats.org/officeDocument/2006/relationships/image" Target="media/image10.jpeg"/><Relationship Id="rId72" Type="http://schemas.openxmlformats.org/officeDocument/2006/relationships/image" Target="media/image10.jpeg"/><Relationship Id="rId73" Type="http://schemas.openxmlformats.org/officeDocument/2006/relationships/image" Target="media/image34.jpeg"/><Relationship Id="rId74" Type="http://schemas.openxmlformats.org/officeDocument/2006/relationships/image" Target="media/image10.jpeg"/><Relationship Id="rId75" Type="http://schemas.openxmlformats.org/officeDocument/2006/relationships/image" Target="media/image10.jpeg"/><Relationship Id="rId76" Type="http://schemas.openxmlformats.org/officeDocument/2006/relationships/image" Target="media/image10.jpeg"/><Relationship Id="rId77" Type="http://schemas.openxmlformats.org/officeDocument/2006/relationships/image" Target="media/image10.jpeg"/><Relationship Id="rId78" Type="http://schemas.openxmlformats.org/officeDocument/2006/relationships/image" Target="media/image10.jpeg"/><Relationship Id="rId79" Type="http://schemas.openxmlformats.org/officeDocument/2006/relationships/image" Target="media/image10.jpeg"/><Relationship Id="rId80" Type="http://schemas.openxmlformats.org/officeDocument/2006/relationships/image" Target="media/image10.jpeg"/><Relationship Id="rId81" Type="http://schemas.openxmlformats.org/officeDocument/2006/relationships/image" Target="media/image10.jpeg"/><Relationship Id="rId82" Type="http://schemas.openxmlformats.org/officeDocument/2006/relationships/image" Target="media/image10.jpeg"/><Relationship Id="rId83" Type="http://schemas.openxmlformats.org/officeDocument/2006/relationships/image" Target="media/image10.jpeg"/><Relationship Id="rId84" Type="http://schemas.openxmlformats.org/officeDocument/2006/relationships/image" Target="media/image10.jpeg"/><Relationship Id="rId85" Type="http://schemas.openxmlformats.org/officeDocument/2006/relationships/image" Target="media/image10.jpeg"/><Relationship Id="rId86" Type="http://schemas.openxmlformats.org/officeDocument/2006/relationships/image" Target="media/image10.jpeg"/><Relationship Id="rId87" Type="http://schemas.openxmlformats.org/officeDocument/2006/relationships/image" Target="media/image10.jpeg"/><Relationship Id="rId88" Type="http://schemas.openxmlformats.org/officeDocument/2006/relationships/image" Target="media/image10.jpeg"/><Relationship Id="rId89" Type="http://schemas.openxmlformats.org/officeDocument/2006/relationships/image" Target="media/image10.jpeg"/><Relationship Id="rId90" Type="http://schemas.openxmlformats.org/officeDocument/2006/relationships/image" Target="media/image10.jpeg"/><Relationship Id="rId91" Type="http://schemas.openxmlformats.org/officeDocument/2006/relationships/image" Target="media/image10.jpeg"/><Relationship Id="rId92" Type="http://schemas.openxmlformats.org/officeDocument/2006/relationships/image" Target="media/image10.jpeg"/><Relationship Id="rId93" Type="http://schemas.openxmlformats.org/officeDocument/2006/relationships/image" Target="media/image10.jpeg"/><Relationship Id="rId94" Type="http://schemas.openxmlformats.org/officeDocument/2006/relationships/image" Target="media/image10.jpeg"/><Relationship Id="rId95" Type="http://schemas.openxmlformats.org/officeDocument/2006/relationships/image" Target="media/image35.jpeg"/><Relationship Id="rId96" Type="http://schemas.openxmlformats.org/officeDocument/2006/relationships/image" Target="media/image36.jpeg"/><Relationship Id="rId97" Type="http://schemas.openxmlformats.org/officeDocument/2006/relationships/image" Target="media/image10.jpeg"/><Relationship Id="rId98" Type="http://schemas.openxmlformats.org/officeDocument/2006/relationships/image" Target="media/image37.jpeg"/><Relationship Id="rId99" Type="http://schemas.openxmlformats.org/officeDocument/2006/relationships/image" Target="media/image38.jpeg"/><Relationship Id="rId100" Type="http://schemas.openxmlformats.org/officeDocument/2006/relationships/image" Target="media/image10.jpeg"/><Relationship Id="rId101" Type="http://schemas.openxmlformats.org/officeDocument/2006/relationships/image" Target="media/image10.jpeg"/><Relationship Id="rId102" Type="http://schemas.openxmlformats.org/officeDocument/2006/relationships/image" Target="media/image10.jpeg"/><Relationship Id="rId103" Type="http://schemas.openxmlformats.org/officeDocument/2006/relationships/image" Target="media/image10.jpeg"/><Relationship Id="rId104" Type="http://schemas.openxmlformats.org/officeDocument/2006/relationships/image" Target="media/image10.jpeg"/><Relationship Id="rId105" Type="http://schemas.openxmlformats.org/officeDocument/2006/relationships/image" Target="media/image10.jpeg"/><Relationship Id="rId106" Type="http://schemas.openxmlformats.org/officeDocument/2006/relationships/image" Target="media/image10.jpeg"/><Relationship Id="rId107" Type="http://schemas.openxmlformats.org/officeDocument/2006/relationships/image" Target="media/image10.jpeg"/><Relationship Id="rId108" Type="http://schemas.openxmlformats.org/officeDocument/2006/relationships/image" Target="media/image10.jpeg"/><Relationship Id="rId109" Type="http://schemas.openxmlformats.org/officeDocument/2006/relationships/image" Target="media/image39.jpeg"/><Relationship Id="rId110" Type="http://schemas.openxmlformats.org/officeDocument/2006/relationships/image" Target="media/image40.jpeg"/><Relationship Id="rId111" Type="http://schemas.openxmlformats.org/officeDocument/2006/relationships/image" Target="media/image41.jpeg"/><Relationship Id="rId112" Type="http://schemas.openxmlformats.org/officeDocument/2006/relationships/image" Target="media/image42.jpeg"/><Relationship Id="rId113" Type="http://schemas.openxmlformats.org/officeDocument/2006/relationships/image" Target="media/image43.jpeg"/><Relationship Id="rId114" Type="http://schemas.openxmlformats.org/officeDocument/2006/relationships/image" Target="media/image44.jpeg"/><Relationship Id="rId115" Type="http://schemas.openxmlformats.org/officeDocument/2006/relationships/image" Target="media/image39.jpeg"/><Relationship Id="rId116" Type="http://schemas.openxmlformats.org/officeDocument/2006/relationships/image" Target="media/image45.jpeg"/><Relationship Id="rId117" Type="http://schemas.openxmlformats.org/officeDocument/2006/relationships/image" Target="media/image46.jpeg"/><Relationship Id="rId118" Type="http://schemas.openxmlformats.org/officeDocument/2006/relationships/fontTable" Target="fontTable.xml"/><Relationship Id="rId1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32288</Words>
  <Characters>177583</Characters>
  <CharactersWithSpaces>213361</CharactersWithSpaces>
  <Paragraphs>7662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