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27, 2026</w:t>
      </w:r>
    </w:p>
    <w:p>
      <w:pPr>
        <w:spacing w:after="0" w:line="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Churchill Downs Incorporated</w:t>
      </w:r>
    </w:p>
    <w:p>
      <w:pPr>
        <w:spacing w:after="0" w:line="245" w:lineRule="exact"/>
        <w:rPr>
          <w:sz w:val="24"/>
          <w:szCs w:val="24"/>
          <w:color w:val="auto"/>
        </w:rPr>
      </w:pPr>
    </w:p>
    <w:tbl>
      <w:tblPr>
        <w:tblLayout w:type="fixed"/>
        <w:tblInd w:w="820" w:type="dxa"/>
        <w:tblCellMar>
          <w:top w:w="0" w:type="dxa"/>
          <w:left w:w="0" w:type="dxa"/>
          <w:bottom w:w="0" w:type="dxa"/>
          <w:right w:w="0" w:type="dxa"/>
        </w:tblCellMar>
      </w:tblPr>
      <w:tr>
        <w:trPr>
          <w:trHeight w:val="234"/>
        </w:trPr>
        <w:tc>
          <w:tcPr>
            <w:tcW w:w="6800" w:type="dxa"/>
            <w:vAlign w:val="bottom"/>
            <w:gridSpan w:val="2"/>
          </w:tcPr>
          <w:p>
            <w:pPr>
              <w:ind w:left="29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760" w:type="dxa"/>
            <w:vAlign w:val="bottom"/>
          </w:tcPr>
          <w:p>
            <w:pPr>
              <w:spacing w:after="0"/>
              <w:rPr>
                <w:sz w:val="20"/>
                <w:szCs w:val="20"/>
                <w:color w:val="auto"/>
              </w:rPr>
            </w:pPr>
          </w:p>
        </w:tc>
      </w:tr>
      <w:tr>
        <w:trPr>
          <w:trHeight w:val="270"/>
        </w:trPr>
        <w:tc>
          <w:tcPr>
            <w:tcW w:w="382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8"/>
              </w:rPr>
              <w:t>Kentucky</w:t>
            </w:r>
          </w:p>
        </w:tc>
        <w:tc>
          <w:tcPr>
            <w:tcW w:w="298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001-33998</w:t>
            </w:r>
          </w:p>
        </w:tc>
        <w:tc>
          <w:tcPr>
            <w:tcW w:w="27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61-0156015</w:t>
            </w:r>
          </w:p>
        </w:tc>
      </w:tr>
      <w:tr>
        <w:trPr>
          <w:trHeight w:val="270"/>
        </w:trPr>
        <w:tc>
          <w:tcPr>
            <w:tcW w:w="38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7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24"/>
        </w:trPr>
        <w:tc>
          <w:tcPr>
            <w:tcW w:w="382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600 North Hurstbourne Parkway, Suite 400</w:t>
            </w:r>
          </w:p>
        </w:tc>
        <w:tc>
          <w:tcPr>
            <w:tcW w:w="298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97"/>
        </w:trPr>
        <w:tc>
          <w:tcPr>
            <w:tcW w:w="38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Louisville , Kentucky</w:t>
            </w:r>
          </w:p>
        </w:tc>
        <w:tc>
          <w:tcPr>
            <w:tcW w:w="2980" w:type="dxa"/>
            <w:vAlign w:val="bottom"/>
          </w:tcPr>
          <w:p>
            <w:pPr>
              <w:spacing w:after="0"/>
              <w:rPr>
                <w:sz w:val="24"/>
                <w:szCs w:val="24"/>
                <w:color w:val="auto"/>
              </w:rPr>
            </w:pPr>
          </w:p>
        </w:tc>
        <w:tc>
          <w:tcPr>
            <w:tcW w:w="276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40222</w:t>
            </w:r>
          </w:p>
        </w:tc>
      </w:tr>
      <w:tr>
        <w:trPr>
          <w:trHeight w:val="243"/>
        </w:trPr>
        <w:tc>
          <w:tcPr>
            <w:tcW w:w="38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980" w:type="dxa"/>
            <w:vAlign w:val="bottom"/>
          </w:tcPr>
          <w:p>
            <w:pPr>
              <w:spacing w:after="0"/>
              <w:rPr>
                <w:sz w:val="21"/>
                <w:szCs w:val="21"/>
                <w:color w:val="auto"/>
              </w:rPr>
            </w:pPr>
          </w:p>
        </w:tc>
        <w:tc>
          <w:tcPr>
            <w:tcW w:w="2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8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(502) 636-4400</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99" w:lineRule="exact"/>
        <w:rPr>
          <w:sz w:val="24"/>
          <w:szCs w:val="24"/>
          <w:color w:val="auto"/>
        </w:rPr>
      </w:pPr>
    </w:p>
    <w:p>
      <w:pPr>
        <w:ind w:right="70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6"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l4a-12 under the Exchange Act (17 CFR 240.14a-12)</w:t>
      </w:r>
    </w:p>
    <w:p>
      <w:pPr>
        <w:spacing w:after="0" w:line="10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56"/>
        </w:trPr>
        <w:tc>
          <w:tcPr>
            <w:tcW w:w="3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7"/>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 Stock, No Par Value</w:t>
            </w:r>
          </w:p>
        </w:tc>
        <w:tc>
          <w:tcPr>
            <w:tcW w:w="2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CHDN</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 LLC</w:t>
            </w:r>
          </w:p>
        </w:tc>
      </w:tr>
    </w:tbl>
    <w:p>
      <w:pPr>
        <w:spacing w:after="0" w:line="238" w:lineRule="exact"/>
        <w:rPr>
          <w:sz w:val="24"/>
          <w:szCs w:val="24"/>
          <w:color w:val="auto"/>
        </w:rPr>
      </w:pPr>
    </w:p>
    <w:p>
      <w:pPr>
        <w:ind w:left="40" w:right="500"/>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7" w:lineRule="exact"/>
        <w:rPr>
          <w:sz w:val="24"/>
          <w:szCs w:val="24"/>
          <w:color w:val="auto"/>
        </w:rPr>
      </w:pPr>
    </w:p>
    <w:p>
      <w:pPr>
        <w:jc w:val="right"/>
        <w:ind w:right="2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04"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10780" w:type="dxa"/>
            <w:vAlign w:val="bottom"/>
          </w:tcPr>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w:t>
            </w:r>
          </w:p>
        </w:tc>
        <w:tc>
          <w:tcPr>
            <w:tcW w:w="24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71"/>
        </w:trPr>
        <w:tc>
          <w:tcPr>
            <w:tcW w:w="10780" w:type="dxa"/>
            <w:vAlign w:val="bottom"/>
          </w:tcPr>
          <w:p>
            <w:pPr>
              <w:spacing w:after="0"/>
              <w:rPr>
                <w:sz w:val="20"/>
                <w:szCs w:val="20"/>
                <w:color w:val="auto"/>
              </w:rPr>
            </w:pPr>
            <w:r>
              <w:rPr>
                <w:rFonts w:ascii="Times New Roman" w:cs="Times New Roman" w:eastAsia="Times New Roman" w:hAnsi="Times New Roman"/>
                <w:sz w:val="18"/>
                <w:szCs w:val="18"/>
                <w:color w:val="auto"/>
              </w:rPr>
              <w:t>new or revised financial accounting standards provided pursuant to Section 13(a) of the Exchange Act.</w:t>
            </w:r>
          </w:p>
        </w:tc>
        <w:tc>
          <w:tcPr>
            <w:tcW w:w="2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809625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31" w:right="31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27, 2026, Churchill Downs Incorporated (the “Company”) announced that the Company’s Board of Directors approved a $750 million share repurchase program. The new share repurchase program replaces the prior $500 million program that was authorized in July 2025. The new share repurchase program includes and is not in addition to any repurchase authority remaining under the prior authorization. Share repurchases may be made at management’s discretion from time to time in the open market (either with or without a 10b5-1 plan) or through privately negotiated transactions. The repurchase program has no time limit and may be suspended or discontinued at any time.</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copy of the press release announcing the Company’s new share repurchase program is furnished hereto as Exhibit 99.1. The information provided pursuant to this Item 7.01, including Exhibit 99.1, is being furnished and shall not be deemed “filed” for purposes of Section 18 of the Securities Exchange Act of 1934, as amended (the “Exchange Act”), or otherwise subject to the liabilities under that Section and shall not be deemed incorporated by reference into any filing of the Company under the Securities Act of 1933, as amended, or the Exchange Act, except as shall be expressly set forth by specific reference in any such filing</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1440" w:hanging="1252"/>
        <w:spacing w:after="0"/>
        <w:tabs>
          <w:tab w:leader="none" w:pos="1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Exhibit</w:t>
      </w:r>
    </w:p>
    <w:p>
      <w:pPr>
        <w:ind w:left="440"/>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13335</wp:posOffset>
            </wp:positionV>
            <wp:extent cx="67036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03695" cy="8255"/>
                    </a:xfrm>
                    <a:prstGeom prst="rect">
                      <a:avLst/>
                    </a:prstGeom>
                    <a:noFill/>
                  </pic:spPr>
                </pic:pic>
              </a:graphicData>
            </a:graphic>
          </wp:anchor>
        </w:drawing>
      </w:r>
    </w:p>
    <w:p>
      <w:pPr>
        <w:spacing w:after="0" w:line="23" w:lineRule="exact"/>
        <w:rPr>
          <w:sz w:val="20"/>
          <w:szCs w:val="20"/>
          <w:color w:val="auto"/>
        </w:rPr>
      </w:pPr>
    </w:p>
    <w:p>
      <w:pPr>
        <w:ind w:left="600"/>
        <w:spacing w:after="0"/>
        <w:tabs>
          <w:tab w:leader="none" w:pos="14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Press Release dated October 28, 2026 issued by Churchill Downs Incorporated</w:t>
      </w:r>
    </w:p>
    <w:p>
      <w:pPr>
        <w:spacing w:after="0" w:line="50" w:lineRule="exact"/>
        <w:rPr>
          <w:sz w:val="20"/>
          <w:szCs w:val="20"/>
          <w:color w:val="auto"/>
        </w:rPr>
      </w:pPr>
    </w:p>
    <w:p>
      <w:pPr>
        <w:ind w:left="620"/>
        <w:spacing w:after="0"/>
        <w:tabs>
          <w:tab w:leader="none" w:pos="14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922020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7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40" w:lineRule="exact"/>
        <w:rPr>
          <w:sz w:val="20"/>
          <w:szCs w:val="20"/>
          <w:color w:val="auto"/>
        </w:rPr>
      </w:pPr>
    </w:p>
    <w:p>
      <w:pPr>
        <w:ind w:left="860"/>
        <w:spacing w:after="0"/>
        <w:tabs>
          <w:tab w:leader="none" w:pos="4960" w:val="left"/>
        </w:tabs>
        <w:rPr>
          <w:sz w:val="20"/>
          <w:szCs w:val="20"/>
          <w:color w:val="auto"/>
        </w:rPr>
      </w:pPr>
      <w:r>
        <w:rPr>
          <w:rFonts w:ascii="Times New Roman" w:cs="Times New Roman" w:eastAsia="Times New Roman" w:hAnsi="Times New Roman"/>
          <w:sz w:val="18"/>
          <w:szCs w:val="18"/>
          <w:color w:val="auto"/>
        </w:rPr>
        <w:t>October 28, 2026</w:t>
      </w:r>
      <w:r>
        <w:rPr>
          <w:sz w:val="20"/>
          <w:szCs w:val="20"/>
          <w:color w:val="auto"/>
        </w:rPr>
        <w:tab/>
      </w:r>
      <w:r>
        <w:rPr>
          <w:rFonts w:ascii="Times New Roman" w:cs="Times New Roman" w:eastAsia="Times New Roman" w:hAnsi="Times New Roman"/>
          <w:sz w:val="17"/>
          <w:szCs w:val="17"/>
          <w:color w:val="auto"/>
        </w:rPr>
        <w:t>/s/ Marcia A. 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17145</wp:posOffset>
            </wp:positionV>
            <wp:extent cx="34461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3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Marcia A. Dall</w:t>
      </w:r>
    </w:p>
    <w:p>
      <w:pPr>
        <w:spacing w:after="0" w:line="3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p>
      <w:pPr>
        <w:spacing w:after="0" w:line="3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0920"/>
          </w:cols>
          <w:pgMar w:left="320" w:top="887" w:right="6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1006475</wp:posOffset>
            </wp:positionV>
            <wp:extent cx="3240405" cy="643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324040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 IMMEDIATE RELEASE</w:t>
      </w:r>
    </w:p>
    <w:p>
      <w:pPr>
        <w:sectPr>
          <w:pgSz w:w="11900" w:h="16838" w:orient="portrait"/>
          <w:cols w:equalWidth="0" w:num="1">
            <w:col w:w="11240"/>
          </w:cols>
          <w:pgMar w:left="320" w:top="1440" w:right="339" w:bottom="1440" w:gutter="0" w:footer="0" w:header="0"/>
        </w:sectPr>
      </w:pPr>
    </w:p>
    <w:p>
      <w:pPr>
        <w:spacing w:after="0" w:line="65"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8"/>
          <w:szCs w:val="18"/>
          <w:color w:val="auto"/>
        </w:rPr>
        <w:t>Investor Contact: Sam Ullrich (502) 638-3906</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Media Contact: Breck Thomas-Ross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(502) 636-4506</w:t>
      </w:r>
    </w:p>
    <w:p>
      <w:pPr>
        <w:spacing w:after="0" w:line="49" w:lineRule="exact"/>
        <w:rPr>
          <w:sz w:val="20"/>
          <w:szCs w:val="20"/>
          <w:color w:val="auto"/>
        </w:rPr>
      </w:pPr>
    </w:p>
    <w:p>
      <w:pPr>
        <w:sectPr>
          <w:pgSz w:w="11900" w:h="16838" w:orient="portrait"/>
          <w:cols w:equalWidth="0" w:num="2">
            <w:col w:w="2360" w:space="40"/>
            <w:col w:w="8840"/>
          </w:cols>
          <w:pgMar w:left="32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Sam.Ullrich@kyderby.com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Breck.ThomasRoss@kyderby.com</w:t>
      </w:r>
    </w:p>
    <w:p>
      <w:pPr>
        <w:spacing w:after="0" w:line="200" w:lineRule="exact"/>
        <w:rPr>
          <w:sz w:val="20"/>
          <w:szCs w:val="20"/>
          <w:color w:val="auto"/>
        </w:rPr>
      </w:pPr>
    </w:p>
    <w:p>
      <w:pPr>
        <w:sectPr>
          <w:pgSz w:w="11900" w:h="16838" w:orient="portrait"/>
          <w:cols w:equalWidth="0" w:num="2">
            <w:col w:w="2160" w:space="720"/>
            <w:col w:w="8360"/>
          </w:cols>
          <w:pgMar w:left="320" w:top="1440" w:right="339" w:bottom="1440" w:gutter="0" w:footer="0" w:header="0"/>
          <w:type w:val="continuous"/>
        </w:sectPr>
      </w:pP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Churchill Downs Incorporated Announces</w:t>
      </w:r>
    </w:p>
    <w:p>
      <w:pPr>
        <w:spacing w:after="0" w:line="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New $750 Million Share Repurchase Program</w:t>
      </w:r>
    </w:p>
    <w:p>
      <w:pPr>
        <w:sectPr>
          <w:pgSz w:w="11900" w:h="16838" w:orient="portrait"/>
          <w:cols w:equalWidth="0" w:num="1">
            <w:col w:w="11240"/>
          </w:cols>
          <w:pgMar w:left="320" w:top="1440" w:right="339" w:bottom="1440" w:gutter="0" w:footer="0" w:header="0"/>
          <w:type w:val="continuous"/>
        </w:sectPr>
      </w:pPr>
    </w:p>
    <w:p>
      <w:pPr>
        <w:spacing w:after="0" w:line="24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0"/>
          <w:szCs w:val="20"/>
          <w:b w:val="1"/>
          <w:bCs w:val="1"/>
          <w:color w:val="auto"/>
        </w:rPr>
        <w:t xml:space="preserve">Louisville, KY., (October 28, 2026) – </w:t>
      </w:r>
      <w:r>
        <w:rPr>
          <w:rFonts w:ascii="Times New Roman" w:cs="Times New Roman" w:eastAsia="Times New Roman" w:hAnsi="Times New Roman"/>
          <w:sz w:val="20"/>
          <w:szCs w:val="20"/>
          <w:color w:val="auto"/>
        </w:rPr>
        <w:t>Churchill Downs Incorporated (“CDI” or “the Company”) (Nasdaq: CHDN) announced today that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Company’s Board of Directors approved a $750 million share repurchase program. The new share repurchase program replaces the prior $500 million program that was authorized in July 2025. The new share repurchase program includes and is not in addition to the $306 million remaining under the prior authorization as of the close of trading on October 27, 2026. Share repurchases may be made at management’s discretion from time to time in the open market (either with or without a 10b5-1 plan) or through privately negotiated transactions. The repurchase program has no time limit and may be suspended or discontinued at any time.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Churchill Downs Incorporated</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Churchill Downs Incorporated (“CDI”) (Nasdaq: CHDN) has created extraordinary entertainment experiences for over 150 years, beginning with the Company’s most iconic and enduring asset, Churchill Downs Racetrack, the home of the Kentucky Derby and premier races of the Thoroughbred Championship Series. Headquartered in Louisville, Kentucky, CDI has expanded through the acquisition, development, and operation of live and historical racing entertainment venues, the growth of the online wagering businesses, and the acquisition, development, and operation of regional casino gaming properties. https://www.churchilldownsincorporated.com/</w:t>
      </w:r>
    </w:p>
    <w:p>
      <w:pPr>
        <w:spacing w:after="0" w:line="19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i w:val="1"/>
          <w:iCs w:val="1"/>
          <w:color w:val="auto"/>
        </w:rPr>
        <w:t>This news release contains various "forward-looking statements" within the meaning of the "safe harbor" provisions of the Private Securities Litigation Reform Act of 1995. Forward-looking statements are typically identified by the use of terms such as "anticipate," "believe," "could," "estimate," "expect," "intend," "may," "might," "plan," "predict," "project," "seek," "should," "will," "scheduled," and similar words or similar expressions (or negative versions of such words or expressions), although some forward-looking statements are expressed differently.</w:t>
      </w:r>
    </w:p>
    <w:p>
      <w:pPr>
        <w:spacing w:after="0" w:line="1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i w:val="1"/>
          <w:iCs w:val="1"/>
          <w:color w:val="auto"/>
        </w:rPr>
        <w:t>Although we believe that the expectations reflected in such forward-looking statements are reasonable, we can give no assurance that such expectations will prove to be correct. Important factors that could cause actual results to differ materially from expectations include the following: the occurrence of extraordinary events, such as terrorist attacks, public health threats, civil unrest, and inclement weather, including as a result of climate change; the effect of economic conditions on our consumers' confidence and discretionary spending or our access to credit, including the impact of inflation; changes in, or new interpretations of, applicable tax laws or rulings that could result in additional tax liabilities; the impact of any pandemics, epidemics, or outbreaks of infectious diseases, and related economic matters on our results of operations, financial conditions, and prospects; lack of confidence in the</w:t>
      </w:r>
    </w:p>
    <w:p>
      <w:pPr>
        <w:sectPr>
          <w:pgSz w:w="11900" w:h="16838" w:orient="portrait"/>
          <w:cols w:equalWidth="0" w:num="1">
            <w:col w:w="11240"/>
          </w:cols>
          <w:pgMar w:left="320" w:top="1440" w:right="339" w:bottom="1440" w:gutter="0" w:footer="0" w:header="0"/>
          <w:type w:val="continuous"/>
        </w:sectPr>
      </w:pPr>
    </w:p>
    <w:bookmarkStart w:id="4" w:name="page5"/>
    <w:bookmarkEnd w:id="4"/>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integrity of our core businesses or any deterioration in our reputation; negative shifts in public opinion regarding gambling that could result in increased regulation of, or new restrictions on, the gaming industry; loss of key or highly skilled personnel, as well as general disruptions in the labor market; the impact of significant competition, and the expectation that competition levels will increase; changes in consumer preferences, attendance, wagering, and sponsorships; risks associated with equity investments, strategic alliances and other third-party agreements; inability to respond to rapid technological changes in a timely manner; concentration and evolution of slot machine and historical racing machine manufacturing and other technology conditions that could impose additional costs; failure to enter into or maintain agreements with industry constituents, including horsemen and other racetracks; cybersecurity risk, including cybersecurity breaches, loss or misuse of our confidential information as a result of a breach including customers’ personal information, or IT system operational disruptions, could lead to government enforcement actions or other litigation; costs of compliance with increasingly complex laws and regulations regarding data privacy and protection of personal information; reliance on our technology services and catastrophic events, system failures, errors or defects disrupting our operations; inability to identify, complete, or fully realize the benefits of our proposed acquisitions, divestitures, development of new venues or the expansion of existing facilities on time, on budget, or as planned; difficulty in integrating recent or future acquisitions into our operations; cost overruns and other uncertainties associated with the development of new venues and the expansion of existing facilities; general risks related to real estate ownership and significant expenditures, including risks related to environmental liabilities; personal injury litigation related to injuries occurring at our racetracks; compliance with the Foreign Corrupt Practices Act or other similar laws and regulations, or applicable anti-money laundering regulations; payment-related risks, such as risk associated with fraudulent credit card or debit card use; work stoppages and labor problems; risks related to pending or future legal proceedings and other actions; highly regulated operations and changes in the regulatory environment could adversely affect our business; restrictions in our debt facilities limiting our flexibility to operate our business; failure to comply with the financial ratios and other covenants in our debt facilities and other indebtedness; increases to interest rates, disruption in the credit markets or changes to our credit ratings may adversely affect our business; increase in our insurance costs, or inability to obtain similar insurance coverage in the future, and any inability to recover under our insurance policies for damages sustained at our properties in the event of inclement weather and casualty events; whether the objective of a strategic alternative review process will be achieved; the terms, structure, benefits and costs of any strategic transaction; the timing of any strategic transaction and whether any strategic transaction will be consummated on the terms proposed or at all; the risk that the announcement or exploration of strategic alternatives could have an adverse effect on our ability to retain key personnel and maintain relationships with partners, suppliers, employees, shareholders and other business relationships; the risk of any unexpected costs or expenses resulting from the exploration of strategic alternatives; the risk of any litigation relating to the exploration of strategic alternatives or any strategic transaction; and other factors described under the heading "Risk Factors" in our most recent Annual Report on Form 10-K and in other filings we make with the Securities and Exchange Commission.</w:t>
      </w:r>
    </w:p>
    <w:p>
      <w:pPr>
        <w:spacing w:after="0" w:line="13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8"/>
          <w:szCs w:val="18"/>
          <w:i w:val="1"/>
          <w:iCs w:val="1"/>
          <w:color w:val="auto"/>
        </w:rPr>
        <w:t>We do not undertake any obligation to update or revise any forward-looking statements, whether as a result of new information, future events or otherwise, except as required by law.</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2026-10-28T15:49:56Z</dcterms:created>
  <dcterms:modified xsi:type="dcterms:W3CDTF">2026-10-28T15:49:56Z</dcterms:modified>
</cp:coreProperties>
</file>