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pPr>
      <w:r>
        <w:rPr>
          <w:rFonts w:ascii="Times New Roman;serif" w:hAnsi="Times New Roman;serif"/>
          <w:b/>
          <w:color w:val="000000"/>
          <w:sz w:val="28"/>
        </w:rPr>
        <w:t>SECURITIES AND EXCHANGE COMMISSION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xml:space="preserve">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April 21, 2026 </w:t>
      </w:r>
    </w:p>
    <w:p>
      <w:pPr>
        <w:pStyle w:val="TextBody"/>
        <w:bidi w:val="0"/>
        <w:spacing w:lineRule="auto" w:line="288" w:before="0" w:after="0"/>
        <w:jc w:val="center"/>
        <w:rPr/>
      </w:pPr>
      <w:r>
        <w:rPr>
          <w:rFonts w:ascii="Times New Roman;serif" w:hAnsi="Times New Roman;serif"/>
          <w:b/>
          <w:color w:val="000000"/>
          <w:sz w:val="48"/>
        </w:rPr>
        <w:t>Churchill Downs Incorporated</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427" w:type="dxa"/>
        <w:jc w:val="center"/>
        <w:tblInd w:w="0" w:type="dxa"/>
        <w:tblLayout w:type="fixed"/>
        <w:tblCellMar>
          <w:top w:w="28" w:type="dxa"/>
          <w:left w:w="28" w:type="dxa"/>
          <w:bottom w:w="28" w:type="dxa"/>
          <w:right w:w="28" w:type="dxa"/>
        </w:tblCellMar>
      </w:tblPr>
      <w:tblGrid>
        <w:gridCol w:w="469"/>
        <w:gridCol w:w="411"/>
        <w:gridCol w:w="411"/>
        <w:gridCol w:w="411"/>
        <w:gridCol w:w="411"/>
        <w:gridCol w:w="411"/>
        <w:gridCol w:w="411"/>
        <w:gridCol w:w="411"/>
        <w:gridCol w:w="430"/>
        <w:gridCol w:w="381"/>
        <w:gridCol w:w="381"/>
        <w:gridCol w:w="381"/>
        <w:gridCol w:w="381"/>
        <w:gridCol w:w="381"/>
        <w:gridCol w:w="389"/>
        <w:gridCol w:w="992"/>
        <w:gridCol w:w="992"/>
        <w:gridCol w:w="1001"/>
        <w:gridCol w:w="109"/>
        <w:gridCol w:w="109"/>
        <w:gridCol w:w="154"/>
      </w:tblGrid>
      <w:tr>
        <w:trPr/>
        <w:tc>
          <w:tcPr>
            <w:tcW w:w="4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6"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Kentucky</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001-33998</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61-0156015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600 North Hurstbourne Parkway, Suite 400</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color w:val="000000"/>
                <w:sz w:val="20"/>
              </w:rPr>
            </w:pPr>
            <w:r>
              <w:rPr>
                <w:rFonts w:ascii="Times New Roman;serif" w:hAnsi="Times New Roman;serif"/>
                <w:b/>
                <w:color w:val="000000"/>
                <w:sz w:val="20"/>
              </w:rPr>
              <w:t>Louisville</w:t>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Kentucky</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40222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(502) 636-4400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l4a-12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120"/>
        <w:jc w:val="left"/>
        <w:rPr>
          <w:color w:val="000000"/>
        </w:rPr>
      </w:pPr>
      <w:r>
        <w:rPr>
          <w:color w:val="000000"/>
        </w:rPr>
        <w:t> </w:t>
      </w:r>
    </w:p>
    <w:p>
      <w:pPr>
        <w:pStyle w:val="TextBody"/>
        <w:bidi w:val="0"/>
        <w:spacing w:lineRule="auto" w:line="288" w:before="120" w:after="120"/>
        <w:jc w:val="left"/>
        <w:rPr>
          <w:color w:val="000000"/>
        </w:rPr>
      </w:pPr>
      <w:r>
        <w:rPr>
          <w:color w:val="000000"/>
        </w:rPr>
        <w:t> </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58" w:type="dxa"/>
        <w:jc w:val="center"/>
        <w:tblInd w:w="0" w:type="dxa"/>
        <w:tblLayout w:type="fixed"/>
        <w:tblCellMar>
          <w:top w:w="28" w:type="dxa"/>
          <w:left w:w="28" w:type="dxa"/>
          <w:bottom w:w="28" w:type="dxa"/>
          <w:right w:w="28" w:type="dxa"/>
        </w:tblCellMar>
      </w:tblPr>
      <w:tblGrid>
        <w:gridCol w:w="918"/>
        <w:gridCol w:w="803"/>
        <w:gridCol w:w="813"/>
        <w:gridCol w:w="539"/>
        <w:gridCol w:w="539"/>
        <w:gridCol w:w="541"/>
        <w:gridCol w:w="1085"/>
        <w:gridCol w:w="1085"/>
        <w:gridCol w:w="1535"/>
      </w:tblGrid>
      <w:tr>
        <w:trPr/>
        <w:tc>
          <w:tcPr>
            <w:tcW w:w="9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CHDN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 LLC</w:t>
            </w:r>
          </w:p>
        </w:tc>
      </w:tr>
    </w:tbl>
    <w:tbl>
      <w:tblPr>
        <w:tblW w:w="10205" w:type="dxa"/>
        <w:jc w:val="center"/>
        <w:tblInd w:w="0" w:type="dxa"/>
        <w:tblLayout w:type="fixed"/>
        <w:tblCellMar>
          <w:top w:w="28" w:type="dxa"/>
          <w:left w:w="28" w:type="dxa"/>
          <w:bottom w:w="28" w:type="dxa"/>
          <w:right w:w="28" w:type="dxa"/>
        </w:tblCellMar>
      </w:tblPr>
      <w:tblGrid>
        <w:gridCol w:w="3568"/>
        <w:gridCol w:w="3127"/>
        <w:gridCol w:w="3136"/>
        <w:gridCol w:w="109"/>
        <w:gridCol w:w="109"/>
        <w:gridCol w:w="156"/>
      </w:tblGrid>
      <w:tr>
        <w:trPr/>
        <w:tc>
          <w:tcPr>
            <w:tcW w:w="3568"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ind w:left="0" w:right="0" w:hanging="1440"/>
        <w:jc w:val="left"/>
        <w:rPr/>
      </w:pPr>
      <w:r>
        <w:rPr/>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the 2026 Annual Meeting held April 21, 2026, the Churchill Downs Incorporated (the "Company") shareholders: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(1) elected two (2) Class III Directors to terms of three (3) years each;</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(2) ratified the appointment of PricewaterhouseCoopers LLP as the Company's independent registered public accounting firm for fiscal year 2026; and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(3) approved, on an advisory basis, the compensation of the named executive officers, as disclosed in the proxy statement, pursuant to the compensation disclosure rules of the Securities and Exchange Commission, including the Compensation Discussion and Analysis, the Summary Compensation Table and the other related tables and disclosures in the proxy statement. </w: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Set forth below are the number of votes cast with respect to each of the matters submitted for vote at the meeting.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(1) Election of Class III Directors for a three year term</w:t>
      </w:r>
    </w:p>
    <w:tbl>
      <w:tblPr>
        <w:tblW w:w="5958" w:type="dxa"/>
        <w:jc w:val="left"/>
        <w:tblInd w:w="0" w:type="dxa"/>
        <w:tblLayout w:type="fixed"/>
        <w:tblCellMar>
          <w:top w:w="28" w:type="dxa"/>
          <w:left w:w="28" w:type="dxa"/>
          <w:bottom w:w="28" w:type="dxa"/>
          <w:right w:w="28" w:type="dxa"/>
        </w:tblCellMar>
      </w:tblPr>
      <w:tblGrid>
        <w:gridCol w:w="646"/>
        <w:gridCol w:w="567"/>
        <w:gridCol w:w="571"/>
        <w:gridCol w:w="540"/>
        <w:gridCol w:w="541"/>
        <w:gridCol w:w="141"/>
        <w:gridCol w:w="488"/>
        <w:gridCol w:w="488"/>
        <w:gridCol w:w="296"/>
        <w:gridCol w:w="492"/>
        <w:gridCol w:w="492"/>
        <w:gridCol w:w="696"/>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Nominee</w:t>
            </w:r>
          </w:p>
        </w:tc>
        <w:tc>
          <w:tcPr>
            <w:tcW w:w="12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w:t>
            </w:r>
          </w:p>
        </w:tc>
        <w:tc>
          <w:tcPr>
            <w:tcW w:w="12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Withheld</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Broker Non-Votes</w:t>
            </w:r>
          </w:p>
        </w:tc>
      </w:tr>
      <w:tr>
        <w:trPr/>
        <w:tc>
          <w:tcPr>
            <w:tcW w:w="1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C. Grissom</w:t>
            </w:r>
          </w:p>
        </w:tc>
        <w:tc>
          <w:tcPr>
            <w:tcW w:w="108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53,602,746 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5,980,214 </w:t>
            </w:r>
          </w:p>
        </w:tc>
        <w:tc>
          <w:tcPr>
            <w:tcW w:w="2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5,058,232 </w:t>
            </w:r>
          </w:p>
        </w:tc>
        <w:tc>
          <w:tcPr>
            <w:tcW w:w="69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P. Harrington</w:t>
            </w:r>
          </w:p>
        </w:tc>
        <w:tc>
          <w:tcPr>
            <w:tcW w:w="1081"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56,384,182 </w:t>
            </w:r>
          </w:p>
        </w:tc>
        <w:tc>
          <w:tcPr>
            <w:tcW w:w="1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3,198,778 </w:t>
            </w:r>
          </w:p>
        </w:tc>
        <w:tc>
          <w:tcPr>
            <w:tcW w:w="2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5,058,232 </w:t>
            </w:r>
          </w:p>
        </w:tc>
        <w:tc>
          <w:tcPr>
            <w:tcW w:w="696"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(2) Ratify the appointment of PricewaterhouseCoopers LLP as the Company’s independent registered accounting firm for fiscal year 2026</w:t>
      </w:r>
    </w:p>
    <w:tbl>
      <w:tblPr>
        <w:tblW w:w="5075" w:type="dxa"/>
        <w:jc w:val="left"/>
        <w:tblInd w:w="0" w:type="dxa"/>
        <w:tblLayout w:type="fixed"/>
        <w:tblCellMar>
          <w:top w:w="28" w:type="dxa"/>
          <w:left w:w="28" w:type="dxa"/>
          <w:bottom w:w="28" w:type="dxa"/>
          <w:right w:w="28" w:type="dxa"/>
        </w:tblCellMar>
      </w:tblPr>
      <w:tblGrid>
        <w:gridCol w:w="585"/>
        <w:gridCol w:w="511"/>
        <w:gridCol w:w="140"/>
        <w:gridCol w:w="413"/>
        <w:gridCol w:w="413"/>
        <w:gridCol w:w="251"/>
        <w:gridCol w:w="360"/>
        <w:gridCol w:w="361"/>
        <w:gridCol w:w="361"/>
        <w:gridCol w:w="492"/>
        <w:gridCol w:w="492"/>
        <w:gridCol w:w="696"/>
      </w:tblGrid>
      <w:tr>
        <w:trPr/>
        <w:tc>
          <w:tcPr>
            <w:tcW w:w="58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w:t>
            </w:r>
          </w:p>
        </w:tc>
        <w:tc>
          <w:tcPr>
            <w:tcW w:w="10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Against</w:t>
            </w:r>
          </w:p>
        </w:tc>
        <w:tc>
          <w:tcPr>
            <w:tcW w:w="10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Abstentions</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96"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63,632,857 </w:t>
            </w:r>
          </w:p>
        </w:tc>
        <w:tc>
          <w:tcPr>
            <w:tcW w:w="1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975,233 </w:t>
            </w:r>
          </w:p>
        </w:tc>
        <w:tc>
          <w:tcPr>
            <w:tcW w:w="2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33,102 </w:t>
            </w:r>
          </w:p>
        </w:tc>
        <w:tc>
          <w:tcPr>
            <w:tcW w:w="3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(3) Approval, on an advisory basis, of the compensation of the Company’s named executive officers</w:t>
      </w:r>
    </w:p>
    <w:tbl>
      <w:tblPr>
        <w:tblW w:w="5225" w:type="dxa"/>
        <w:jc w:val="left"/>
        <w:tblInd w:w="0" w:type="dxa"/>
        <w:tblLayout w:type="fixed"/>
        <w:tblCellMar>
          <w:top w:w="28" w:type="dxa"/>
          <w:left w:w="28" w:type="dxa"/>
          <w:bottom w:w="28" w:type="dxa"/>
          <w:right w:w="28" w:type="dxa"/>
        </w:tblCellMar>
      </w:tblPr>
      <w:tblGrid>
        <w:gridCol w:w="585"/>
        <w:gridCol w:w="511"/>
        <w:gridCol w:w="140"/>
        <w:gridCol w:w="488"/>
        <w:gridCol w:w="488"/>
        <w:gridCol w:w="251"/>
        <w:gridCol w:w="360"/>
        <w:gridCol w:w="361"/>
        <w:gridCol w:w="361"/>
        <w:gridCol w:w="492"/>
        <w:gridCol w:w="492"/>
        <w:gridCol w:w="696"/>
      </w:tblGrid>
      <w:tr>
        <w:trPr/>
        <w:tc>
          <w:tcPr>
            <w:tcW w:w="58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w:t>
            </w:r>
          </w:p>
        </w:tc>
        <w:tc>
          <w:tcPr>
            <w:tcW w:w="12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Against</w:t>
            </w:r>
          </w:p>
        </w:tc>
        <w:tc>
          <w:tcPr>
            <w:tcW w:w="10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Abstentions</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96"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50,404,461 </w:t>
            </w:r>
          </w:p>
        </w:tc>
        <w:tc>
          <w:tcPr>
            <w:tcW w:w="1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9,078,571 </w:t>
            </w:r>
          </w:p>
        </w:tc>
        <w:tc>
          <w:tcPr>
            <w:tcW w:w="2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99,928 </w:t>
            </w:r>
          </w:p>
        </w:tc>
        <w:tc>
          <w:tcPr>
            <w:tcW w:w="3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5,058,232 </w:t>
            </w:r>
          </w:p>
        </w:tc>
        <w:tc>
          <w:tcPr>
            <w:tcW w:w="696"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left"/>
        <w:rPr/>
      </w:pPr>
      <w:r>
        <w:rPr/>
      </w:r>
    </w:p>
    <w:p>
      <w:pPr>
        <w:pStyle w:val="TextBody"/>
        <w:bidi w:val="0"/>
        <w:spacing w:before="6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center"/>
        <w:rPr>
          <w:color w:val="000000"/>
        </w:rPr>
      </w:pPr>
      <w:r>
        <w:rPr>
          <w:color w:val="000000"/>
        </w:rPr>
        <w:t> </w:t>
      </w:r>
    </w:p>
    <w:tbl>
      <w:tblPr>
        <w:tblW w:w="6896" w:type="dxa"/>
        <w:jc w:val="center"/>
        <w:tblInd w:w="0" w:type="dxa"/>
        <w:tblLayout w:type="fixed"/>
        <w:tblCellMar>
          <w:top w:w="28" w:type="dxa"/>
          <w:left w:w="28" w:type="dxa"/>
          <w:bottom w:w="28" w:type="dxa"/>
          <w:right w:w="28" w:type="dxa"/>
        </w:tblCellMar>
      </w:tblPr>
      <w:tblGrid>
        <w:gridCol w:w="473"/>
        <w:gridCol w:w="415"/>
        <w:gridCol w:w="417"/>
        <w:gridCol w:w="109"/>
        <w:gridCol w:w="109"/>
        <w:gridCol w:w="109"/>
        <w:gridCol w:w="1540"/>
        <w:gridCol w:w="1540"/>
        <w:gridCol w:w="218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K. Blackwell</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Bradley K. Blackwell</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General Counsel and Secretary</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570</Words>
  <Characters>3232</Characters>
  <CharactersWithSpaces>3745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