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to</w:t>
      </w:r>
      <w:r>
        <w:rPr>
          <w:color w:val="000000"/>
          <w:u w:val="single"/>
        </w:rPr>
        <w:t>            </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001-33998</w:t>
      </w:r>
    </w:p>
    <w:p>
      <w:pPr>
        <w:pStyle w:val="TextBody"/>
        <w:bidi w:val="0"/>
        <w:spacing w:lineRule="auto" w:line="288" w:before="60" w:after="60"/>
        <w:jc w:val="center"/>
        <w:rPr>
          <w:rFonts w:ascii="Times New Roman;serif" w:hAnsi="Times New Roman;serif"/>
          <w:b/>
          <w:color w:val="000000"/>
          <w:sz w:val="48"/>
        </w:rPr>
      </w:pPr>
      <w:r>
        <w:rPr>
          <w:rFonts w:ascii="Times New Roman;serif" w:hAnsi="Times New Roman;serif"/>
          <w:b/>
          <w:color w:val="000000"/>
          <w:sz w:val="48"/>
        </w:rPr>
        <w:t>Churchill Downs Incorporated</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8973"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109"/>
        <w:gridCol w:w="109"/>
        <w:gridCol w:w="109"/>
        <w:gridCol w:w="992"/>
        <w:gridCol w:w="992"/>
        <w:gridCol w:w="1001"/>
        <w:gridCol w:w="109"/>
        <w:gridCol w:w="109"/>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Kentucky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Louisville,</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(502) 636-4400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300"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shares outstanding of registrant’s common stock at July 22, 2026 was 69,700,243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
        <w:gridCol w:w="245"/>
        <w:gridCol w:w="246"/>
        <w:gridCol w:w="3019"/>
        <w:gridCol w:w="3019"/>
        <w:gridCol w:w="3024"/>
        <w:gridCol w:w="109"/>
        <w:gridCol w:w="109"/>
        <w:gridCol w:w="156"/>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0">
              <w:r>
                <w:rPr>
                  <w:rStyle w:val="InternetLink"/>
                  <w:rFonts w:ascii="Times New Roman;serif" w:hAnsi="Times New Roman;serif"/>
                  <w:b/>
                  <w:color w:val="000000"/>
                  <w:sz w:val="20"/>
                  <w:u w:val="single"/>
                </w:rPr>
                <w:t>Part I-FINANCIAL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3">
              <w:r>
                <w:rPr>
                  <w:rStyle w:val="InternetLink"/>
                  <w:rFonts w:ascii="Times New Roman;serif" w:hAnsi="Times New Roman;serif"/>
                  <w:b w:val="false"/>
                  <w:color w:val="000000"/>
                  <w:sz w:val="20"/>
                  <w:u w:val="single"/>
                </w:rPr>
                <w:t>Item 1.</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3">
              <w:r>
                <w:rPr>
                  <w:rStyle w:val="InternetLink"/>
                  <w:rFonts w:ascii="Times New Roman;serif" w:hAnsi="Times New Roman;serif"/>
                  <w:b w:val="false"/>
                  <w:color w:val="000000"/>
                  <w:sz w:val="20"/>
                  <w:u w:val="single"/>
                </w:rPr>
                <w:t>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00"/>
                <w:sz w:val="20"/>
                <w:u w:val="single"/>
              </w:rPr>
              <w:t>three and six months ended</w:t>
            </w:r>
            <w:hyperlink w:anchor="i4594ad1f275743a09c9a86f50dad0c78_1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June 30, 2026</w:t>
            </w:r>
            <w:hyperlink w:anchor="i4594ad1f275743a09c9a86f50dad0c78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6">
              <w:r>
                <w:rPr>
                  <w:rStyle w:val="InternetLink"/>
                  <w:rFonts w:ascii="Times New Roman;serif" w:hAnsi="Times New Roman;serif"/>
                  <w:b w:val="false"/>
                  <w:color w:val="000000"/>
                  <w:sz w:val="20"/>
                  <w:u w:val="single"/>
                </w:rPr>
                <w:t>3</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9">
              <w:r>
                <w:rPr>
                  <w:rStyle w:val="InternetLink"/>
                  <w:rFonts w:ascii="Times New Roman;serif" w:hAnsi="Times New Roman;serif"/>
                  <w:b w:val="false"/>
                  <w:color w:val="000080"/>
                  <w:sz w:val="20"/>
                  <w:u w:val="single"/>
                </w:rPr>
                <w:t xml:space="preserve">Condensed Consolidated Balance Sheets at </w:t>
              </w:r>
            </w:hyperlink>
            <w:r>
              <w:rPr>
                <w:rFonts w:ascii="Times New Roman;serif" w:hAnsi="Times New Roman;serif"/>
                <w:b w:val="false"/>
                <w:color w:val="000000"/>
                <w:sz w:val="20"/>
                <w:u w:val="single"/>
              </w:rPr>
              <w:t>June 30, 2026</w:t>
            </w:r>
            <w:hyperlink w:anchor="i4594ad1f275743a09c9a86f50dad0c78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December 31,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9">
              <w:r>
                <w:rPr>
                  <w:rStyle w:val="InternetLink"/>
                  <w:rFonts w:ascii="Times New Roman;serif" w:hAnsi="Times New Roman;serif"/>
                  <w:b w:val="false"/>
                  <w:color w:val="000000"/>
                  <w:sz w:val="20"/>
                  <w:u w:val="single"/>
                </w:rPr>
                <w:t>4</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22">
              <w:r>
                <w:rPr>
                  <w:rStyle w:val="InternetLink"/>
                  <w:rFonts w:ascii="Times New Roman;serif" w:hAnsi="Times New Roman;serif"/>
                  <w:b w:val="false"/>
                  <w:color w:val="000080"/>
                  <w:sz w:val="20"/>
                  <w:u w:val="single"/>
                </w:rPr>
                <w:t xml:space="preserve">Condensed Consolidated Statements of Shareholders' Equity for the </w:t>
              </w:r>
            </w:hyperlink>
            <w:r>
              <w:rPr>
                <w:rFonts w:ascii="Times New Roman;serif" w:hAnsi="Times New Roman;serif"/>
                <w:b w:val="false"/>
                <w:color w:val="000000"/>
                <w:sz w:val="20"/>
                <w:u w:val="single"/>
              </w:rPr>
              <w:t>three and six months ended</w:t>
            </w:r>
            <w:hyperlink w:anchor="i4594ad1f275743a09c9a86f50dad0c78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June 30, 2026</w:t>
            </w:r>
            <w:hyperlink w:anchor="i4594ad1f275743a09c9a86f50dad0c78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22">
              <w:r>
                <w:rPr>
                  <w:rStyle w:val="InternetLink"/>
                  <w:rFonts w:ascii="Times New Roman;serif" w:hAnsi="Times New Roman;serif"/>
                  <w:b w:val="false"/>
                  <w:color w:val="000000"/>
                  <w:sz w:val="20"/>
                  <w:u w:val="single"/>
                </w:rPr>
                <w:t>5</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00"/>
                <w:sz w:val="20"/>
                <w:u w:val="single"/>
              </w:rPr>
              <w:t>six</w:t>
            </w:r>
            <w:hyperlink w:anchor="i4594ad1f275743a09c9a86f50dad0c78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June 30, 2026</w:t>
            </w:r>
            <w:hyperlink w:anchor="i4594ad1f275743a09c9a86f50dad0c78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25">
              <w:r>
                <w:rPr>
                  <w:rStyle w:val="InternetLink"/>
                  <w:rFonts w:ascii="Times New Roman;serif" w:hAnsi="Times New Roman;serif"/>
                  <w:b w:val="false"/>
                  <w:color w:val="000000"/>
                  <w:sz w:val="20"/>
                  <w:u w:val="single"/>
                </w:rPr>
                <w:t>7</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31">
              <w:r>
                <w:rPr>
                  <w:rStyle w:val="InternetLink"/>
                  <w:rFonts w:ascii="Times New Roman;serif" w:hAnsi="Times New Roman;serif"/>
                  <w:b w:val="false"/>
                  <w:color w:val="000000"/>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31">
              <w:r>
                <w:rPr>
                  <w:rStyle w:val="InternetLink"/>
                  <w:rFonts w:ascii="Times New Roman;serif" w:hAnsi="Times New Roman;serif"/>
                  <w:b w:val="false"/>
                  <w:color w:val="000000"/>
                  <w:sz w:val="20"/>
                  <w:u w:val="single"/>
                </w:rPr>
                <w:t>9</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97">
              <w:r>
                <w:rPr>
                  <w:rStyle w:val="InternetLink"/>
                  <w:rFonts w:ascii="Times New Roman;serif" w:hAnsi="Times New Roman;serif"/>
                  <w:b w:val="false"/>
                  <w:color w:val="000000"/>
                  <w:sz w:val="20"/>
                  <w:u w:val="single"/>
                </w:rPr>
                <w:t>Item 2.</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97">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97">
              <w:r>
                <w:rPr>
                  <w:rStyle w:val="InternetLink"/>
                  <w:rFonts w:ascii="Times New Roman;serif" w:hAnsi="Times New Roman;serif"/>
                  <w:b w:val="false"/>
                  <w:color w:val="000000"/>
                  <w:sz w:val="20"/>
                  <w:u w:val="single"/>
                </w:rPr>
                <w:t>28</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39">
              <w:r>
                <w:rPr>
                  <w:rStyle w:val="InternetLink"/>
                  <w:rFonts w:ascii="Times New Roman;serif" w:hAnsi="Times New Roman;serif"/>
                  <w:b w:val="false"/>
                  <w:color w:val="000000"/>
                  <w:sz w:val="20"/>
                  <w:u w:val="single"/>
                </w:rPr>
                <w:t>Item 3.</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39">
              <w:r>
                <w:rPr>
                  <w:rStyle w:val="InternetLink"/>
                  <w:rFonts w:ascii="Times New Roman;serif" w:hAnsi="Times New Roman;serif"/>
                  <w:b w:val="false"/>
                  <w:color w:val="000000"/>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39">
              <w:r>
                <w:rPr>
                  <w:rStyle w:val="InternetLink"/>
                  <w:rFonts w:ascii="Times New Roman;serif" w:hAnsi="Times New Roman;serif"/>
                  <w:b w:val="false"/>
                  <w:color w:val="000000"/>
                  <w:sz w:val="20"/>
                  <w:u w:val="single"/>
                </w:rPr>
                <w:t>38</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42">
              <w:r>
                <w:rPr>
                  <w:rStyle w:val="InternetLink"/>
                  <w:rFonts w:ascii="Times New Roman;serif" w:hAnsi="Times New Roman;serif"/>
                  <w:b w:val="false"/>
                  <w:color w:val="000000"/>
                  <w:sz w:val="20"/>
                  <w:u w:val="single"/>
                </w:rPr>
                <w:t>Item 4.</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42">
              <w:r>
                <w:rPr>
                  <w:rStyle w:val="InternetLink"/>
                  <w:rFonts w:ascii="Times New Roman;serif" w:hAnsi="Times New Roman;serif"/>
                  <w:b w:val="false"/>
                  <w:color w:val="000000"/>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42">
              <w:r>
                <w:rPr>
                  <w:rStyle w:val="InternetLink"/>
                  <w:rFonts w:ascii="Times New Roman;serif" w:hAnsi="Times New Roman;serif"/>
                  <w:b w:val="false"/>
                  <w:color w:val="000000"/>
                  <w:sz w:val="20"/>
                  <w:u w:val="single"/>
                </w:rPr>
                <w:t>39</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45">
              <w:r>
                <w:rPr>
                  <w:rStyle w:val="InternetLink"/>
                  <w:rFonts w:ascii="Times New Roman;serif" w:hAnsi="Times New Roman;serif"/>
                  <w:b/>
                  <w:color w:val="000000"/>
                  <w:sz w:val="20"/>
                  <w:u w:val="single"/>
                </w:rPr>
                <w:t>Part II-OTHER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48">
              <w:r>
                <w:rPr>
                  <w:rStyle w:val="InternetLink"/>
                  <w:rFonts w:ascii="Times New Roman;serif" w:hAnsi="Times New Roman;serif"/>
                  <w:b w:val="false"/>
                  <w:color w:val="000000"/>
                  <w:sz w:val="20"/>
                  <w:u w:val="single"/>
                </w:rPr>
                <w:t>Item 1.</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48">
              <w:r>
                <w:rPr>
                  <w:rStyle w:val="InternetLink"/>
                  <w:rFonts w:ascii="Times New Roman;serif" w:hAnsi="Times New Roman;serif"/>
                  <w:b w:val="false"/>
                  <w:color w:val="000000"/>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48">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1">
              <w:r>
                <w:rPr>
                  <w:rStyle w:val="InternetLink"/>
                  <w:rFonts w:ascii="Times New Roman;serif" w:hAnsi="Times New Roman;serif"/>
                  <w:b w:val="false"/>
                  <w:color w:val="000000"/>
                  <w:sz w:val="20"/>
                  <w:u w:val="single"/>
                </w:rPr>
                <w:t>Item 1A.</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1">
              <w:r>
                <w:rPr>
                  <w:rStyle w:val="InternetLink"/>
                  <w:rFonts w:ascii="Times New Roman;serif" w:hAnsi="Times New Roman;serif"/>
                  <w:b w:val="false"/>
                  <w:color w:val="000000"/>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51">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4">
              <w:r>
                <w:rPr>
                  <w:rStyle w:val="InternetLink"/>
                  <w:rFonts w:ascii="Times New Roman;serif" w:hAnsi="Times New Roman;serif"/>
                  <w:b w:val="false"/>
                  <w:color w:val="000000"/>
                  <w:sz w:val="20"/>
                  <w:u w:val="single"/>
                </w:rPr>
                <w:t>Item 2.</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4">
              <w:r>
                <w:rPr>
                  <w:rStyle w:val="InternetLink"/>
                  <w:rFonts w:ascii="Times New Roman;serif" w:hAnsi="Times New Roman;serif"/>
                  <w:b w:val="false"/>
                  <w:color w:val="000000"/>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54">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7">
              <w:r>
                <w:rPr>
                  <w:rStyle w:val="InternetLink"/>
                  <w:rFonts w:ascii="Times New Roman;serif" w:hAnsi="Times New Roman;serif"/>
                  <w:b w:val="false"/>
                  <w:color w:val="000000"/>
                  <w:sz w:val="20"/>
                  <w:u w:val="single"/>
                </w:rPr>
                <w:t>Item 3.</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57">
              <w:r>
                <w:rPr>
                  <w:rStyle w:val="InternetLink"/>
                  <w:rFonts w:ascii="Times New Roman;serif" w:hAnsi="Times New Roman;serif"/>
                  <w:b w:val="false"/>
                  <w:color w:val="000000"/>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57">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0">
              <w:r>
                <w:rPr>
                  <w:rStyle w:val="InternetLink"/>
                  <w:rFonts w:ascii="Times New Roman;serif" w:hAnsi="Times New Roman;serif"/>
                  <w:b w:val="false"/>
                  <w:color w:val="000000"/>
                  <w:sz w:val="20"/>
                  <w:u w:val="single"/>
                </w:rPr>
                <w:t>Item 4.</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0">
              <w:r>
                <w:rPr>
                  <w:rStyle w:val="InternetLink"/>
                  <w:rFonts w:ascii="Times New Roman;serif" w:hAnsi="Times New Roman;serif"/>
                  <w:b w:val="false"/>
                  <w:color w:val="000000"/>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60">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3">
              <w:r>
                <w:rPr>
                  <w:rStyle w:val="InternetLink"/>
                  <w:rFonts w:ascii="Times New Roman;serif" w:hAnsi="Times New Roman;serif"/>
                  <w:b w:val="false"/>
                  <w:color w:val="000000"/>
                  <w:sz w:val="20"/>
                  <w:u w:val="single"/>
                </w:rPr>
                <w:t>Item 5.</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3">
              <w:r>
                <w:rPr>
                  <w:rStyle w:val="InternetLink"/>
                  <w:rFonts w:ascii="Times New Roman;serif" w:hAnsi="Times New Roman;serif"/>
                  <w:b w:val="false"/>
                  <w:color w:val="000000"/>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63">
              <w:r>
                <w:rPr>
                  <w:rStyle w:val="InternetLink"/>
                  <w:rFonts w:ascii="Times New Roman;serif" w:hAnsi="Times New Roman;serif"/>
                  <w:b w:val="false"/>
                  <w:color w:val="000000"/>
                  <w:sz w:val="20"/>
                  <w:u w:val="single"/>
                </w:rPr>
                <w:t>40</w:t>
              </w:r>
            </w:hyperlink>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6">
              <w:r>
                <w:rPr>
                  <w:rStyle w:val="InternetLink"/>
                  <w:rFonts w:ascii="Times New Roman;serif" w:hAnsi="Times New Roman;serif"/>
                  <w:b w:val="false"/>
                  <w:color w:val="000000"/>
                  <w:sz w:val="20"/>
                  <w:u w:val="single"/>
                </w:rPr>
                <w:t>Item 6.</w:t>
              </w:r>
            </w:hyperlink>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6">
              <w:r>
                <w:rPr>
                  <w:rStyle w:val="InternetLink"/>
                  <w:rFonts w:ascii="Times New Roman;serif" w:hAnsi="Times New Roman;serif"/>
                  <w:b w:val="false"/>
                  <w:color w:val="000000"/>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66">
              <w:r>
                <w:rPr>
                  <w:rStyle w:val="InternetLink"/>
                  <w:rFonts w:ascii="Times New Roman;serif" w:hAnsi="Times New Roman;serif"/>
                  <w:b w:val="false"/>
                  <w:color w:val="000000"/>
                  <w:sz w:val="20"/>
                  <w:u w:val="single"/>
                </w:rPr>
                <w:t>41</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ad1f275743a09c9a86f50dad0c78_169">
              <w:r>
                <w:rPr>
                  <w:rStyle w:val="InternetLink"/>
                  <w:rFonts w:ascii="Times New Roman;serif" w:hAnsi="Times New Roman;serif"/>
                  <w:b w:val="false"/>
                  <w:color w:val="000000"/>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ad1f275743a09c9a86f50dad0c78_169">
              <w:r>
                <w:rPr>
                  <w:rStyle w:val="InternetLink"/>
                  <w:rFonts w:ascii="Times New Roman;serif" w:hAnsi="Times New Roman;serif"/>
                  <w:b w:val="false"/>
                  <w:color w:val="000000"/>
                  <w:sz w:val="20"/>
                  <w:u w:val="single"/>
                </w:rPr>
                <w:t>42</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47445"/>
                <wp:effectExtent l="0" t="0" r="0" b="0"/>
                <wp:wrapNone/>
                <wp:docPr id="2" name="Frame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5"/>
        <w:gridCol w:w="1680"/>
        <w:gridCol w:w="1688"/>
        <w:gridCol w:w="239"/>
        <w:gridCol w:w="568"/>
        <w:gridCol w:w="132"/>
        <w:gridCol w:w="132"/>
        <w:gridCol w:w="132"/>
        <w:gridCol w:w="132"/>
        <w:gridCol w:w="239"/>
        <w:gridCol w:w="568"/>
        <w:gridCol w:w="132"/>
        <w:gridCol w:w="109"/>
        <w:gridCol w:w="109"/>
        <w:gridCol w:w="109"/>
        <w:gridCol w:w="222"/>
        <w:gridCol w:w="530"/>
        <w:gridCol w:w="123"/>
        <w:gridCol w:w="123"/>
        <w:gridCol w:w="123"/>
        <w:gridCol w:w="123"/>
        <w:gridCol w:w="222"/>
        <w:gridCol w:w="530"/>
        <w:gridCol w:w="185"/>
      </w:tblGrid>
      <w:tr>
        <w:trPr/>
        <w:tc>
          <w:tcPr>
            <w:tcW w:w="205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common share data)</w:t>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revenue</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net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 net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 income</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before provision for income taxes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Churchill Downs Incorporated</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attributable to Churchill Downs Incorporated per common share data:</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47445"/>
                <wp:effectExtent l="0" t="0" r="0" b="0"/>
                <wp:wrapNone/>
                <wp:docPr id="3" name="Frame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44" w:type="dxa"/>
        <w:jc w:val="center"/>
        <w:tblInd w:w="0" w:type="dxa"/>
        <w:tblLayout w:type="fixed"/>
        <w:tblCellMar>
          <w:top w:w="28" w:type="dxa"/>
          <w:left w:w="28" w:type="dxa"/>
          <w:bottom w:w="28" w:type="dxa"/>
          <w:right w:w="28" w:type="dxa"/>
        </w:tblCellMar>
      </w:tblPr>
      <w:tblGrid>
        <w:gridCol w:w="1980"/>
        <w:gridCol w:w="1737"/>
        <w:gridCol w:w="1757"/>
        <w:gridCol w:w="287"/>
        <w:gridCol w:w="839"/>
        <w:gridCol w:w="148"/>
        <w:gridCol w:w="109"/>
        <w:gridCol w:w="109"/>
        <w:gridCol w:w="109"/>
        <w:gridCol w:w="380"/>
        <w:gridCol w:w="1110"/>
        <w:gridCol w:w="279"/>
      </w:tblGrid>
      <w:tr>
        <w:trPr/>
        <w:tc>
          <w:tcPr>
            <w:tcW w:w="198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Investment in and advances to unconsolidated affiliates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deferred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loan origination fees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Notes payable, net of current maturities and debt issuance costs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Churchill Downs Incorporated shareholders' equity</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8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7,521 </w:t>
            </w:r>
          </w:p>
        </w:tc>
        <w:tc>
          <w:tcPr>
            <w:tcW w:w="14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47445"/>
                <wp:effectExtent l="0" t="0" r="0" b="0"/>
                <wp:wrapNone/>
                <wp:docPr id="4" name="Frame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41"/>
        <w:gridCol w:w="568"/>
        <w:gridCol w:w="573"/>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676"/>
        <w:gridCol w:w="882"/>
        <w:gridCol w:w="378"/>
        <w:gridCol w:w="109"/>
        <w:gridCol w:w="109"/>
        <w:gridCol w:w="109"/>
        <w:gridCol w:w="109"/>
        <w:gridCol w:w="109"/>
        <w:gridCol w:w="109"/>
        <w:gridCol w:w="109"/>
        <w:gridCol w:w="109"/>
        <w:gridCol w:w="109"/>
        <w:gridCol w:w="109"/>
        <w:gridCol w:w="109"/>
        <w:gridCol w:w="109"/>
        <w:gridCol w:w="109"/>
        <w:gridCol w:w="333"/>
        <w:gridCol w:w="946"/>
        <w:gridCol w:w="267"/>
      </w:tblGrid>
      <w:tr>
        <w:trPr/>
        <w:tc>
          <w:tcPr>
            <w:tcW w:w="9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6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47445"/>
                <wp:effectExtent l="0" t="0" r="0" b="0"/>
                <wp:wrapNone/>
                <wp:docPr id="5" name="Frame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31"/>
        <w:gridCol w:w="688"/>
        <w:gridCol w:w="695"/>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750"/>
        <w:gridCol w:w="979"/>
        <w:gridCol w:w="419"/>
        <w:gridCol w:w="109"/>
        <w:gridCol w:w="109"/>
        <w:gridCol w:w="109"/>
        <w:gridCol w:w="109"/>
        <w:gridCol w:w="109"/>
        <w:gridCol w:w="109"/>
        <w:gridCol w:w="109"/>
        <w:gridCol w:w="357"/>
        <w:gridCol w:w="1014"/>
        <w:gridCol w:w="285"/>
      </w:tblGrid>
      <w:tr>
        <w:trPr/>
        <w:tc>
          <w:tcPr>
            <w:tcW w:w="103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4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4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6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7445"/>
                <wp:effectExtent l="0" t="0" r="0" b="0"/>
                <wp:wrapNone/>
                <wp:docPr id="6" name="Frame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45" w:type="dxa"/>
        <w:jc w:val="center"/>
        <w:tblInd w:w="0" w:type="dxa"/>
        <w:tblLayout w:type="fixed"/>
        <w:tblCellMar>
          <w:top w:w="28" w:type="dxa"/>
          <w:left w:w="28" w:type="dxa"/>
          <w:bottom w:w="28" w:type="dxa"/>
          <w:right w:w="28" w:type="dxa"/>
        </w:tblCellMar>
      </w:tblPr>
      <w:tblGrid>
        <w:gridCol w:w="2436"/>
        <w:gridCol w:w="2132"/>
        <w:gridCol w:w="2151"/>
        <w:gridCol w:w="263"/>
        <w:gridCol w:w="582"/>
        <w:gridCol w:w="136"/>
        <w:gridCol w:w="136"/>
        <w:gridCol w:w="136"/>
        <w:gridCol w:w="136"/>
        <w:gridCol w:w="263"/>
        <w:gridCol w:w="582"/>
        <w:gridCol w:w="192"/>
      </w:tblGrid>
      <w:tr>
        <w:trPr/>
        <w:tc>
          <w:tcPr>
            <w:tcW w:w="243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millions)</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Distributions from unconsolidated affiliates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in income of unconsolidated affiliates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 impairments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operating lease assets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and liabilities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maintenance expenditures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project expenditures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borrowings under long-term debt obligations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borrowings under long-term debt obligations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dividends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Taxes paid related to net share settlement of stock awards </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bank overdraft</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increase in cash, cash equivalents and restricted cash</w:t>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47445"/>
                <wp:effectExtent l="0" t="0" r="0" b="0"/>
                <wp:wrapNone/>
                <wp:docPr id="7" name="Frame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36" w:type="dxa"/>
        <w:jc w:val="center"/>
        <w:tblInd w:w="0" w:type="dxa"/>
        <w:tblLayout w:type="fixed"/>
        <w:tblCellMar>
          <w:top w:w="28" w:type="dxa"/>
          <w:left w:w="28" w:type="dxa"/>
          <w:bottom w:w="28" w:type="dxa"/>
          <w:right w:w="28" w:type="dxa"/>
        </w:tblCellMar>
      </w:tblPr>
      <w:tblGrid>
        <w:gridCol w:w="2568"/>
        <w:gridCol w:w="2257"/>
        <w:gridCol w:w="2285"/>
        <w:gridCol w:w="263"/>
        <w:gridCol w:w="582"/>
        <w:gridCol w:w="136"/>
        <w:gridCol w:w="136"/>
        <w:gridCol w:w="136"/>
        <w:gridCol w:w="136"/>
        <w:gridCol w:w="263"/>
        <w:gridCol w:w="582"/>
        <w:gridCol w:w="192"/>
      </w:tblGrid>
      <w:tr>
        <w:trPr/>
        <w:tc>
          <w:tcPr>
            <w:tcW w:w="256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income tax refunds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Schedule of non-cash operating, investing and financing activities: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 included in accounts payable and accrued expenses</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lease obligations in operating leases </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included in accrued expense and other current liabilities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47445"/>
                <wp:effectExtent l="0" t="0" r="0" b="0"/>
                <wp:wrapNone/>
                <wp:docPr id="8" name="Frame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2025 Condensed Consolidated Balance Sheet data was derived from audited financial statements but does not include all disclosures required by GAAP.</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unaudited. All per share amounts assume dilution unless otherwise noted. This report should be read in conjunction with our Annual Report on Form 10-K for the year ended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necessary for a fair statement of this information have been made, and all such adjustments are of a normal, recurring nature.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completed the acquisition of 90.0% of the outstanding equity interests of PPE Casino Resorts NH Holdings, LLC in Salem, New Hampshire ("Casino Salem"). The Company has assumed responsibility for the development of a charitable gaming, entertainment and dining destination at this location. The Company announced in January 2026 that Casino Salem will be redeveloped as Rockingham Grand Casino. Refer to Note 3, Acquisitions, and Note 11, Redeemable Noncontrolling Interest, for further information on the transaction.</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 - effective in 2026 or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Measurement of Credit Losses for Accounts Receivable and Contract Assets (Topic 326).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updated standard is effective for fiscal years beginning after December 15, 2025, and interim reporting periods within those annual reporting periods, with early adoption permitted. The adoption of this standard did not have a material impact on our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modernizes the accounting for internal-use software. The update removes all references to software development stages and requires capitalization of software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47445"/>
                <wp:effectExtent l="0" t="0" r="0" b="0"/>
                <wp:wrapNone/>
                <wp:docPr id="9" name="Frame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when management has committed to the software project and it is probable the software will be completed and perform its intended use. This standard is effective for annual reporting periods beginning after December 15, 2027, and interim reporting periods within those annual reporting periods.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certain interim reporting guidance. The update is effective for fiscal years beginning after December 15, 2027, and interim periods within those fiscal years. The Company is currently assessing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Casino Salem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2025, the Company completed its acquisition of 90.0% of the outstanding equity interests of Casino Salem (the "Salem Transaction") for a base purchase price of $180 million, and the transaction was treated as an asset acquisition because substantially all the value of the gross assets acquired was concentrated in the gaming rights. In conjunction with the acquisition, the Company recorded a $197 million indefinite-lived gaming rights intangible, which represented the fair value of the gaming rights at the date of acquisition.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gaming rights acquired in the transaction was determined using the Greenfield Method, which is an income approach methodology that calculates the present value of the gaming rights intangible asset based on a projected cash flow stream. This method assumes that the gaming rights intangible asset provides the opportunity to develop a gaming facility in a specified region, and that the present value of the projected cash 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future operating expenses, start-up costs, and discount rate were the primary inputs in the valuation. The gaming rights intangible asset was assigned an indefinite useful life based on the Company's expected use of the asset and determination that no legal, regulatory, contractual, competitive, economic, or other factors limit the useful life of the gaming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4. GOODWILL AND OTHER INTANGIBLE ASSETS</w:t>
      </w:r>
    </w:p>
    <w:p>
      <w:pPr>
        <w:pStyle w:val="TextBody"/>
        <w:bidi w:val="0"/>
        <w:spacing w:lineRule="auto" w:line="288" w:before="60" w:after="120"/>
        <w:jc w:val="both"/>
        <w:rPr/>
      </w:pPr>
      <w:r>
        <w:rPr>
          <w:rFonts w:ascii="Times New Roman;serif" w:hAnsi="Times New Roman;serif"/>
          <w:b w:val="false"/>
          <w:color w:val="000000"/>
          <w:sz w:val="20"/>
        </w:rPr>
        <w:t xml:space="preserve">Goodwill </w:t>
      </w:r>
      <w:r>
        <w:rPr>
          <w:rFonts w:ascii="Times New Roman;serif" w:hAnsi="Times New Roman;serif"/>
          <w:b w:val="false"/>
          <w:color w:val="000000"/>
          <w:sz w:val="20"/>
          <w:shd w:fill="FFFFFF" w:val="clear"/>
        </w:rPr>
        <w:t xml:space="preserve">was $900 million </w:t>
      </w:r>
      <w:r>
        <w:rPr>
          <w:rFonts w:ascii="Times New Roman;serif" w:hAnsi="Times New Roman;serif"/>
          <w:b w:val="false"/>
          <w:color w:val="000000"/>
          <w:sz w:val="20"/>
        </w:rPr>
        <w:t>as of June 30, 2026 and December 31, 2025.</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performed our annual goodwill impairment analysis as of April 1, 2026,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38"/>
        <w:gridCol w:w="456"/>
        <w:gridCol w:w="463"/>
        <w:gridCol w:w="324"/>
        <w:gridCol w:w="554"/>
        <w:gridCol w:w="168"/>
        <w:gridCol w:w="109"/>
        <w:gridCol w:w="109"/>
        <w:gridCol w:w="109"/>
        <w:gridCol w:w="417"/>
        <w:gridCol w:w="745"/>
        <w:gridCol w:w="217"/>
        <w:gridCol w:w="109"/>
        <w:gridCol w:w="109"/>
        <w:gridCol w:w="109"/>
        <w:gridCol w:w="237"/>
        <w:gridCol w:w="693"/>
        <w:gridCol w:w="122"/>
        <w:gridCol w:w="109"/>
        <w:gridCol w:w="109"/>
        <w:gridCol w:w="109"/>
        <w:gridCol w:w="324"/>
        <w:gridCol w:w="554"/>
        <w:gridCol w:w="168"/>
        <w:gridCol w:w="109"/>
        <w:gridCol w:w="109"/>
        <w:gridCol w:w="109"/>
        <w:gridCol w:w="417"/>
        <w:gridCol w:w="745"/>
        <w:gridCol w:w="217"/>
        <w:gridCol w:w="109"/>
        <w:gridCol w:w="109"/>
        <w:gridCol w:w="109"/>
        <w:gridCol w:w="236"/>
        <w:gridCol w:w="690"/>
        <w:gridCol w:w="185"/>
      </w:tblGrid>
      <w:tr>
        <w:trPr/>
        <w:tc>
          <w:tcPr>
            <w:tcW w:w="6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monitor the regulatory and competitive environment and the impact on the results of operations of Presque Isle Downs and Casino ("Presque Isle"). Future regulatory changes and increased competition could have a negative impact on the estimates and assumptions utilized in our asset impairment assessments. These potential impacts could increase the risk of a future impairment of assets at Presque Isle.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performed our annual indefinite-lived intangible assets impairment analysis as of April 1, 2026.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47445"/>
                <wp:effectExtent l="0" t="0" r="0" b="0"/>
                <wp:wrapNone/>
                <wp:docPr id="10" name="Frame1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of 26.2% for the three months and 26.3% for the six months ended June 30, 2026 were higher than the U.S. federal statutory rate of 21.0% primarily resulting from state income taxes and non-deductible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of 25.5% for the three months ended June 30, 2025 was higher than the U.S. federal statutory rate of 21.0% primarily resulting from state income taxes and nondeductible officers’ compensation. The Company’s effective income tax rate of 24.0% for the six months ended June 30, 2025 was higher than the U.S. federal statutory rate of 21.0% primarily resulting from state income taxes and non-deductible officers’ compensation, partially offset by tax benefits from the remeasurement of deferred income tax liabilities, as a result of certain entity classification elections that were made in the first quarter of 2025, which decreased income attributable to states with higher tax rates compared to prior year.</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60" w:after="120"/>
        <w:jc w:val="both"/>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w:t>
      </w:r>
      <w:r>
        <w:rPr>
          <w:rFonts w:ascii="Times New Roman;serif" w:hAnsi="Times New Roman;serif"/>
          <w:b w:val="false"/>
          <w:color w:val="000000"/>
          <w:sz w:val="20"/>
          <w:shd w:fill="FFFFFF" w:val="clear"/>
        </w:rPr>
        <w:t>$430 million</w:t>
      </w:r>
      <w:r>
        <w:rPr>
          <w:color w:val="000000"/>
        </w:rPr>
        <w:t xml:space="preserve"> </w:t>
      </w:r>
      <w:r>
        <w:rPr>
          <w:rFonts w:ascii="Times New Roman;serif" w:hAnsi="Times New Roman;serif"/>
          <w:b w:val="false"/>
          <w:color w:val="000000"/>
          <w:sz w:val="20"/>
        </w:rPr>
        <w:t xml:space="preserve">of repurchase authority remaining under the July 2025 Stock Repurchase Program at June 30, 2026,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new common stock repurchase program of up to $500 million (the "March 2025 Stock Repurchase Program"). The March 2025 Stock Repurchase Program included and was not in addition to any unspent amount remaining under the prior authorizations from the 2021 Stock Repurchase Program. As described above, the March 2025 Stock Repurchase Program has since been replaced by the July 2025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 repurchased the following shares under our stock repurchase programs:</w:t>
      </w:r>
    </w:p>
    <w:tbl>
      <w:tblPr>
        <w:tblW w:w="11492" w:type="dxa"/>
        <w:jc w:val="left"/>
        <w:tblInd w:w="0" w:type="dxa"/>
        <w:tblLayout w:type="fixed"/>
        <w:tblCellMar>
          <w:top w:w="28" w:type="dxa"/>
          <w:left w:w="28" w:type="dxa"/>
          <w:bottom w:w="28" w:type="dxa"/>
          <w:right w:w="28" w:type="dxa"/>
        </w:tblCellMar>
      </w:tblPr>
      <w:tblGrid>
        <w:gridCol w:w="694"/>
        <w:gridCol w:w="215"/>
        <w:gridCol w:w="202"/>
        <w:gridCol w:w="109"/>
        <w:gridCol w:w="109"/>
        <w:gridCol w:w="109"/>
        <w:gridCol w:w="225"/>
        <w:gridCol w:w="225"/>
        <w:gridCol w:w="226"/>
        <w:gridCol w:w="109"/>
        <w:gridCol w:w="109"/>
        <w:gridCol w:w="109"/>
        <w:gridCol w:w="288"/>
        <w:gridCol w:w="554"/>
        <w:gridCol w:w="149"/>
        <w:gridCol w:w="109"/>
        <w:gridCol w:w="109"/>
        <w:gridCol w:w="109"/>
        <w:gridCol w:w="488"/>
        <w:gridCol w:w="488"/>
        <w:gridCol w:w="226"/>
        <w:gridCol w:w="109"/>
        <w:gridCol w:w="109"/>
        <w:gridCol w:w="109"/>
        <w:gridCol w:w="266"/>
        <w:gridCol w:w="587"/>
        <w:gridCol w:w="138"/>
        <w:gridCol w:w="109"/>
        <w:gridCol w:w="109"/>
        <w:gridCol w:w="109"/>
        <w:gridCol w:w="225"/>
        <w:gridCol w:w="225"/>
        <w:gridCol w:w="226"/>
        <w:gridCol w:w="109"/>
        <w:gridCol w:w="109"/>
        <w:gridCol w:w="109"/>
        <w:gridCol w:w="288"/>
        <w:gridCol w:w="554"/>
        <w:gridCol w:w="149"/>
        <w:gridCol w:w="109"/>
        <w:gridCol w:w="109"/>
        <w:gridCol w:w="109"/>
        <w:gridCol w:w="488"/>
        <w:gridCol w:w="488"/>
        <w:gridCol w:w="226"/>
        <w:gridCol w:w="109"/>
        <w:gridCol w:w="109"/>
        <w:gridCol w:w="109"/>
        <w:gridCol w:w="263"/>
        <w:gridCol w:w="580"/>
        <w:gridCol w:w="193"/>
      </w:tblGrid>
      <w:tr>
        <w:trPr/>
        <w:tc>
          <w:tcPr>
            <w:tcW w:w="6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2,565,964 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3,152,202 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2,565,964 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3,364,214 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7. STOCK-BASED COMPENSATION PLANS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the 2025 Plan, and the Executive Long-Term Incentive Compensation Plan, which was adopted pursuant to the 2016 Plan. Our total stock-based compensation expense, which includes expenses related to restricted stock awards ("RSAs"), restricted stock unit awards ("RSUs"), performance share unit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47445"/>
                <wp:effectExtent l="0" t="0" r="0" b="0"/>
                <wp:wrapNone/>
                <wp:docPr id="11" name="Frame1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pPr>
      <w:r>
        <w:rPr>
          <w:rFonts w:ascii="Times New Roman;serif" w:hAnsi="Times New Roman;serif"/>
          <w:b w:val="false"/>
          <w:color w:val="000000"/>
          <w:sz w:val="20"/>
        </w:rPr>
        <w:t xml:space="preserve">("PSUs"), and stock options associated with our employee stock purchase </w:t>
      </w:r>
      <w:r>
        <w:rPr>
          <w:rFonts w:ascii="Times New Roman;serif" w:hAnsi="Times New Roman;serif"/>
          <w:b w:val="false"/>
          <w:color w:val="000000"/>
          <w:sz w:val="20"/>
          <w:shd w:fill="FFFFFF" w:val="clear"/>
        </w:rPr>
        <w:t>plan was $8 million and $13 million fo</w:t>
      </w:r>
      <w:r>
        <w:rPr>
          <w:rFonts w:ascii="Times New Roman;serif" w:hAnsi="Times New Roman;serif"/>
          <w:b w:val="false"/>
          <w:color w:val="000000"/>
          <w:sz w:val="20"/>
        </w:rPr>
        <w:t>r the three months and six months ended June 30, 2026 and $7 million and $11 million for the three months and six months ended June 30, 2025, respectively. At June 30, 2026 and December 31, 2025, the Com</w:t>
      </w:r>
      <w:r>
        <w:rPr>
          <w:rFonts w:ascii="Times New Roman;serif" w:hAnsi="Times New Roman;serif"/>
          <w:b w:val="false"/>
          <w:color w:val="000000"/>
          <w:sz w:val="20"/>
          <w:shd w:fill="FFFFFF" w:val="clear"/>
        </w:rPr>
        <w:t xml:space="preserve">pany had $14 million </w:t>
      </w:r>
      <w:r>
        <w:rPr>
          <w:rFonts w:ascii="Times New Roman;serif" w:hAnsi="Times New Roman;serif"/>
          <w:b w:val="false"/>
          <w:color w:val="000000"/>
          <w:sz w:val="20"/>
        </w:rPr>
        <w:t>and $21 million, respectively, recorded as liability-classified awards, which are included in accrued expense and other liabilities in the accompanying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awarded RSUs to employees, as well as RSUs and PSUs to certain named executive officers ("NEOs"), and RSAs and RSUs to directors. The vesting criteria for the PSU awards granted in 2026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RSAs, RSUs and PSUs granted during 2026 is presented below (units in thousands):</w:t>
      </w:r>
    </w:p>
    <w:tbl>
      <w:tblPr>
        <w:tblW w:w="10205" w:type="dxa"/>
        <w:jc w:val="left"/>
        <w:tblInd w:w="0" w:type="dxa"/>
        <w:tblLayout w:type="fixed"/>
        <w:tblCellMar>
          <w:top w:w="28" w:type="dxa"/>
          <w:left w:w="28" w:type="dxa"/>
          <w:bottom w:w="28" w:type="dxa"/>
          <w:right w:w="28" w:type="dxa"/>
        </w:tblCellMar>
      </w:tblPr>
      <w:tblGrid>
        <w:gridCol w:w="385"/>
        <w:gridCol w:w="340"/>
        <w:gridCol w:w="341"/>
        <w:gridCol w:w="109"/>
        <w:gridCol w:w="109"/>
        <w:gridCol w:w="109"/>
        <w:gridCol w:w="374"/>
        <w:gridCol w:w="374"/>
        <w:gridCol w:w="376"/>
        <w:gridCol w:w="109"/>
        <w:gridCol w:w="109"/>
        <w:gridCol w:w="109"/>
        <w:gridCol w:w="788"/>
        <w:gridCol w:w="788"/>
        <w:gridCol w:w="790"/>
        <w:gridCol w:w="109"/>
        <w:gridCol w:w="109"/>
        <w:gridCol w:w="109"/>
        <w:gridCol w:w="1378"/>
        <w:gridCol w:w="1355"/>
        <w:gridCol w:w="1935"/>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Units Awarded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Terms</w:t>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 equally over three service periods ending in 2029</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Three-year performance and service period ending in 2028</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One-year service period ending in 2027</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One-year service period ending in 2027</w:t>
            </w:r>
          </w:p>
        </w:tc>
      </w:tr>
    </w:tbl>
    <w:p>
      <w:pPr>
        <w:pStyle w:val="TextBody"/>
        <w:bidi w:val="0"/>
        <w:spacing w:lineRule="auto" w:line="288" w:before="12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PSUs reflect the target number of units for the original PSU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debt outstanding:</w:t>
      </w:r>
    </w:p>
    <w:tbl>
      <w:tblPr>
        <w:tblW w:w="7930" w:type="dxa"/>
        <w:jc w:val="left"/>
        <w:tblInd w:w="0" w:type="dxa"/>
        <w:tblLayout w:type="fixed"/>
        <w:tblCellMar>
          <w:top w:w="28" w:type="dxa"/>
          <w:left w:w="28" w:type="dxa"/>
          <w:bottom w:w="28" w:type="dxa"/>
          <w:right w:w="28" w:type="dxa"/>
        </w:tblCellMar>
      </w:tblPr>
      <w:tblGrid>
        <w:gridCol w:w="1649"/>
        <w:gridCol w:w="1448"/>
        <w:gridCol w:w="1463"/>
        <w:gridCol w:w="287"/>
        <w:gridCol w:w="839"/>
        <w:gridCol w:w="148"/>
        <w:gridCol w:w="109"/>
        <w:gridCol w:w="109"/>
        <w:gridCol w:w="109"/>
        <w:gridCol w:w="380"/>
        <w:gridCol w:w="1110"/>
        <w:gridCol w:w="279"/>
      </w:tblGrid>
      <w:tr>
        <w:trPr/>
        <w:tc>
          <w:tcPr>
            <w:tcW w:w="164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Unamortized premium and deferred finance charges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 and costs</w:t>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senior secured credit facility (as amended from time to time, the "Credit Agreement") consisted of a $1.2 billion revolving credit facility (the "Revolver"), $284 million senior secured term loan B-1 (the "Term Loan B-1"), $1.1 billion senior secured term loan A (the "Term Loan A"), and $100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47445"/>
                <wp:effectExtent l="0" t="0" r="0" b="0"/>
                <wp:wrapNone/>
                <wp:docPr id="12" name="Frame1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Term Loan B-1 requires quarterly payments of 0.25% of the original $300 million balance and may be subject to additional mandatory prepayment from excess cash flow on an annual basis per the provisions of the Credit Agreement.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June 30, 2026, that applicable margin was 150 basis points which was based on the pricing grid in the Credit Agreement. The Company had $861 million available borrowing capacity, after consideration of $10 million in outstanding letters of credit, under the Revolver as of June 30, 2026.</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a commitment fee on the unused portion of the Revolver, as determined by a pricing grid based on the consolidated total net secured leverage ratio of the Company. For the period ended June 30, 2026, the Company's commitment fee rate was 0.25%.</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$600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 total of $700 million in aggregate principal amount of 4.750% senior unsecured notes (the "2028 Senior Notes") maturing on January 15, 2028. The 2028 Senior Notes consist of $500 million notes issued at par and $200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of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$1.2 billion in aggregate principal amount of 5.750% senior unsecured notes that mature on April 1, 2030 (the "2030 Senior Notes"). The 2030 Senior Notes were issued at par in a private offering to qualified institutional buyers, with interest payable in arrears on April 1st and October 1st of each year, commencing on October 1st, 2022. The Company may redeem some or all of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$600 million in aggregate principal amount of 6.750% senior unsecured notes that mature on May 1,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2031 Indenture.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raising funds via debt markets. Our ability to raise debt and the terms under which we would fund the obligations are subject to our ability to access the debt markets and other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our Live and Historical Racing segment had remaining performance obligations on contracts with a duration greater than one year relating to television rights, sponsorships, personal seat licenses, and admissions, with an aggregate transaction price of $197 million. The revenue we expect to recognize on these remaining performance obligations is $2 million for the remainder of 2026, $64 million in 2027, $39 million in 2028, and the remainder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47445"/>
                <wp:effectExtent l="0" t="0" r="0" b="0"/>
                <wp:wrapNone/>
                <wp:docPr id="13" name="Frame1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Contract Assets and Contract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contract assets were not material.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contract liabilities were $51 million and $80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the recognition of previously deferred revenue related to the 152nd Kentucky Derby. We recognized $49 million and $55 million of revenue during the three months and six months ended June 30, 2026, respectively, which was included in the contract liabilities balance at December 31, 2025. We recognized $48 million and $54 million of revenue during the three months and six months ended June 30, 2025, respectively, which was included in the contract liabilities balance at December 31, 2024.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Wagering Services and Solutions segment, revenue is disaggregated between live and simulcast racing,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47445"/>
                <wp:effectExtent l="0" t="0" r="0" b="0"/>
                <wp:wrapNone/>
                <wp:docPr id="14" name="Frame1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tbl>
      <w:tblPr>
        <w:tblW w:w="8674" w:type="dxa"/>
        <w:jc w:val="left"/>
        <w:tblInd w:w="0" w:type="dxa"/>
        <w:tblLayout w:type="fixed"/>
        <w:tblCellMar>
          <w:top w:w="28" w:type="dxa"/>
          <w:left w:w="28" w:type="dxa"/>
          <w:bottom w:w="28" w:type="dxa"/>
          <w:right w:w="28" w:type="dxa"/>
        </w:tblCellMar>
      </w:tblPr>
      <w:tblGrid>
        <w:gridCol w:w="1196"/>
        <w:gridCol w:w="1047"/>
        <w:gridCol w:w="1056"/>
        <w:gridCol w:w="291"/>
        <w:gridCol w:w="644"/>
        <w:gridCol w:w="150"/>
        <w:gridCol w:w="150"/>
        <w:gridCol w:w="150"/>
        <w:gridCol w:w="150"/>
        <w:gridCol w:w="291"/>
        <w:gridCol w:w="644"/>
        <w:gridCol w:w="150"/>
        <w:gridCol w:w="109"/>
        <w:gridCol w:w="109"/>
        <w:gridCol w:w="109"/>
        <w:gridCol w:w="228"/>
        <w:gridCol w:w="667"/>
        <w:gridCol w:w="118"/>
        <w:gridCol w:w="118"/>
        <w:gridCol w:w="118"/>
        <w:gridCol w:w="118"/>
        <w:gridCol w:w="228"/>
        <w:gridCol w:w="667"/>
        <w:gridCol w:w="166"/>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Live and Historical Racing:</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Racetrack</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Kentucky</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 Kentucky</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Kentucky</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Live and Historical Racing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from external customers</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Intercompany net revenues:</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net revenue</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47445"/>
                <wp:effectExtent l="0" t="0" r="0" b="0"/>
                <wp:wrapNone/>
                <wp:docPr id="15" name="Frame1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$16 million in each of the three-month period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47445"/>
                <wp:effectExtent l="0" t="0" r="0" b="0"/>
                <wp:wrapNone/>
                <wp:docPr id="16" name="Frame1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63"/>
        <w:gridCol w:w="549"/>
        <w:gridCol w:w="556"/>
        <w:gridCol w:w="385"/>
        <w:gridCol w:w="852"/>
        <w:gridCol w:w="202"/>
        <w:gridCol w:w="109"/>
        <w:gridCol w:w="109"/>
        <w:gridCol w:w="109"/>
        <w:gridCol w:w="429"/>
        <w:gridCol w:w="950"/>
        <w:gridCol w:w="225"/>
        <w:gridCol w:w="109"/>
        <w:gridCol w:w="109"/>
        <w:gridCol w:w="109"/>
        <w:gridCol w:w="213"/>
        <w:gridCol w:w="471"/>
        <w:gridCol w:w="112"/>
        <w:gridCol w:w="109"/>
        <w:gridCol w:w="109"/>
        <w:gridCol w:w="109"/>
        <w:gridCol w:w="246"/>
        <w:gridCol w:w="719"/>
        <w:gridCol w:w="127"/>
        <w:gridCol w:w="109"/>
        <w:gridCol w:w="109"/>
        <w:gridCol w:w="109"/>
        <w:gridCol w:w="227"/>
        <w:gridCol w:w="438"/>
        <w:gridCol w:w="117"/>
        <w:gridCol w:w="109"/>
        <w:gridCol w:w="109"/>
        <w:gridCol w:w="109"/>
        <w:gridCol w:w="211"/>
        <w:gridCol w:w="616"/>
        <w:gridCol w:w="162"/>
      </w:tblGrid>
      <w:tr>
        <w:trPr/>
        <w:tc>
          <w:tcPr>
            <w:tcW w:w="7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549"/>
        <w:gridCol w:w="556"/>
        <w:gridCol w:w="385"/>
        <w:gridCol w:w="852"/>
        <w:gridCol w:w="202"/>
        <w:gridCol w:w="109"/>
        <w:gridCol w:w="109"/>
        <w:gridCol w:w="109"/>
        <w:gridCol w:w="429"/>
        <w:gridCol w:w="950"/>
        <w:gridCol w:w="225"/>
        <w:gridCol w:w="109"/>
        <w:gridCol w:w="109"/>
        <w:gridCol w:w="109"/>
        <w:gridCol w:w="213"/>
        <w:gridCol w:w="471"/>
        <w:gridCol w:w="112"/>
        <w:gridCol w:w="109"/>
        <w:gridCol w:w="109"/>
        <w:gridCol w:w="109"/>
        <w:gridCol w:w="246"/>
        <w:gridCol w:w="719"/>
        <w:gridCol w:w="127"/>
        <w:gridCol w:w="109"/>
        <w:gridCol w:w="109"/>
        <w:gridCol w:w="109"/>
        <w:gridCol w:w="227"/>
        <w:gridCol w:w="438"/>
        <w:gridCol w:w="117"/>
        <w:gridCol w:w="109"/>
        <w:gridCol w:w="109"/>
        <w:gridCol w:w="109"/>
        <w:gridCol w:w="211"/>
        <w:gridCol w:w="616"/>
        <w:gridCol w:w="162"/>
      </w:tblGrid>
      <w:tr>
        <w:trPr/>
        <w:tc>
          <w:tcPr>
            <w:tcW w:w="7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$32 million for the six months ended June 30, 2026 and $30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47445"/>
                <wp:effectExtent l="0" t="0" r="0" b="0"/>
                <wp:wrapNone/>
                <wp:docPr id="17" name="Frame1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ind w:left="0" w:right="0" w:hanging="540"/>
        <w:jc w:val="left"/>
        <w:rPr>
          <w:rFonts w:ascii="Times New Roman;serif" w:hAnsi="Times New Roman;serif"/>
          <w:b/>
          <w:color w:val="000000"/>
          <w:sz w:val="20"/>
        </w:rPr>
      </w:pPr>
      <w:r>
        <w:rPr>
          <w:rFonts w:ascii="Times New Roman;serif" w:hAnsi="Times New Roman;serif"/>
          <w:b/>
          <w:color w:val="000000"/>
          <w:sz w:val="20"/>
        </w:rPr>
        <w:t>10. SUPPLEMENTAL BALANCE SHEET INFORMATION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w:t>
      </w:r>
    </w:p>
    <w:tbl>
      <w:tblPr>
        <w:tblW w:w="6955" w:type="dxa"/>
        <w:jc w:val="left"/>
        <w:tblInd w:w="0" w:type="dxa"/>
        <w:tblLayout w:type="fixed"/>
        <w:tblCellMar>
          <w:top w:w="28" w:type="dxa"/>
          <w:left w:w="28" w:type="dxa"/>
          <w:bottom w:w="28" w:type="dxa"/>
          <w:right w:w="28" w:type="dxa"/>
        </w:tblCellMar>
      </w:tblPr>
      <w:tblGrid>
        <w:gridCol w:w="1295"/>
        <w:gridCol w:w="1138"/>
        <w:gridCol w:w="1151"/>
        <w:gridCol w:w="342"/>
        <w:gridCol w:w="756"/>
        <w:gridCol w:w="176"/>
        <w:gridCol w:w="109"/>
        <w:gridCol w:w="109"/>
        <w:gridCol w:w="109"/>
        <w:gridCol w:w="514"/>
        <w:gridCol w:w="880"/>
        <w:gridCol w:w="376"/>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Simulcast and online wagering receivables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 xml:space="preserve">Other current assets </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Other current assets is comprised of the following:</w:t>
      </w:r>
    </w:p>
    <w:tbl>
      <w:tblPr>
        <w:tblW w:w="5802" w:type="dxa"/>
        <w:jc w:val="left"/>
        <w:tblInd w:w="0" w:type="dxa"/>
        <w:tblLayout w:type="fixed"/>
        <w:tblCellMar>
          <w:top w:w="28" w:type="dxa"/>
          <w:left w:w="28" w:type="dxa"/>
          <w:bottom w:w="28" w:type="dxa"/>
          <w:right w:w="28" w:type="dxa"/>
        </w:tblCellMar>
      </w:tblPr>
      <w:tblGrid>
        <w:gridCol w:w="918"/>
        <w:gridCol w:w="804"/>
        <w:gridCol w:w="708"/>
        <w:gridCol w:w="395"/>
        <w:gridCol w:w="676"/>
        <w:gridCol w:w="204"/>
        <w:gridCol w:w="109"/>
        <w:gridCol w:w="109"/>
        <w:gridCol w:w="109"/>
        <w:gridCol w:w="514"/>
        <w:gridCol w:w="880"/>
        <w:gridCol w:w="376"/>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technology costs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taxes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costs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deposits and other</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444" w:type="dxa"/>
        <w:jc w:val="left"/>
        <w:tblInd w:w="0" w:type="dxa"/>
        <w:tblLayout w:type="fixed"/>
        <w:tblCellMar>
          <w:top w:w="28" w:type="dxa"/>
          <w:left w:w="28" w:type="dxa"/>
          <w:bottom w:w="28" w:type="dxa"/>
          <w:right w:w="28" w:type="dxa"/>
        </w:tblCellMar>
      </w:tblPr>
      <w:tblGrid>
        <w:gridCol w:w="1111"/>
        <w:gridCol w:w="976"/>
        <w:gridCol w:w="987"/>
        <w:gridCol w:w="342"/>
        <w:gridCol w:w="756"/>
        <w:gridCol w:w="176"/>
        <w:gridCol w:w="109"/>
        <w:gridCol w:w="109"/>
        <w:gridCol w:w="109"/>
        <w:gridCol w:w="448"/>
        <w:gridCol w:w="992"/>
        <w:gridCol w:w="32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 wagering deposits liability</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related benefits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Purses payable</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fixed assets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gaming liabilities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taxes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REDEEMABLE NONCONTROLLING INTEREST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April 2024, the Company closed on the sale of 49.0% of United Tote, a wholly-owned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47445"/>
                <wp:effectExtent l="0" t="0" r="0" b="0"/>
                <wp:wrapNone/>
                <wp:docPr id="18" name="Frame1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closed on the purchase of 90.0% of Casino Salem, a joint venture with SL Salem, LLC and JPF Casino Enterprises, LLC (collectively, the "Casino Salem Minority Interest Holders"). The Casino Salem Minority Interest Holders' interests include certain embedded redemption features, such as put rights, that are not exclusively within the Company’s control. The Casino Salem Minority Interest Holders' interests are treated as redeemable noncontrolling interest and are not included in the permanent equity on the Company’s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tbl>
      <w:tblPr>
        <w:tblW w:w="6272" w:type="dxa"/>
        <w:jc w:val="left"/>
        <w:tblInd w:w="0" w:type="dxa"/>
        <w:tblLayout w:type="fixed"/>
        <w:tblCellMar>
          <w:top w:w="28" w:type="dxa"/>
          <w:left w:w="28" w:type="dxa"/>
          <w:bottom w:w="28" w:type="dxa"/>
          <w:right w:w="28" w:type="dxa"/>
        </w:tblCellMar>
      </w:tblPr>
      <w:tblGrid>
        <w:gridCol w:w="1887"/>
        <w:gridCol w:w="1659"/>
        <w:gridCol w:w="1673"/>
        <w:gridCol w:w="211"/>
        <w:gridCol w:w="361"/>
        <w:gridCol w:w="109"/>
        <w:gridCol w:w="109"/>
        <w:gridCol w:w="109"/>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12. INVESTMENTS IN AND ADVANCES TO UNCONSOLIDATED AFFILIATES</w:t>
      </w:r>
      <w:r>
        <w:rPr>
          <w:color w:val="000000"/>
          <w:shd w:fill="FFFFFF" w:val="clear"/>
        </w:rPr>
        <w:t xml:space="preserv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Investments in and advances to unconsolidated affiliates as of June 30, 2026 and December 31, 2025, primarily consisted of interests in Rivers Casino Des Plaines ("Rivers Des Plaines") and Miami Valley Gaming and Racing ("MVG").</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Rivers Casino Des Plaines </w:t>
      </w:r>
    </w:p>
    <w:p>
      <w:pPr>
        <w:pStyle w:val="TextBody"/>
        <w:bidi w:val="0"/>
        <w:spacing w:lineRule="auto" w:line="288" w:before="60" w:after="120"/>
        <w:jc w:val="both"/>
        <w:rPr/>
      </w:pPr>
      <w:r>
        <w:rPr>
          <w:rFonts w:ascii="Times New Roman;serif" w:hAnsi="Times New Roman;serif"/>
          <w:b w:val="false"/>
          <w:color w:val="000000"/>
          <w:sz w:val="20"/>
        </w:rPr>
        <w:t xml:space="preserve">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net aggregate basis difference between the Company’s investment in Rivers Des Plaines and the amounts of the underlying equity in net assets </w:t>
      </w:r>
      <w:r>
        <w:rPr>
          <w:rFonts w:ascii="Times New Roman;serif" w:hAnsi="Times New Roman;serif"/>
          <w:b w:val="false"/>
          <w:color w:val="000000"/>
          <w:sz w:val="20"/>
        </w:rPr>
        <w:t>was $833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Rivers Des Plaines was $578 million and $573 million as of June 30, 2026 and December 31, 2025, respectively. The Company received distributions from Rivers Des Plaines of $47 million and $40 million for the six months ended June 30, 2026 and 2025, respectively.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Miami Valley Gaming and Racing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owns a 50.0% interest in MVG and Delaware North Companies Gaming &amp; Entertainment Inc. ("DNC") owns the remaining 50.0% interest in MVG. Since both the Company and DNC have participating rights over MVG, and both must consent to certain operating, investing and financing decisions, we account for MVG using the equity method.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MVG was $112 million as of June 30, 2026 and December 31, 2025, respectively. The Company received distributions from MVG of $25 million and $23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47445"/>
                <wp:effectExtent l="0" t="0" r="0" b="0"/>
                <wp:wrapNone/>
                <wp:docPr id="19" name="Frame1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Summarized Financial Results for our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below are the financial results for our unconsolidated affiliates. </w:t>
      </w:r>
    </w:p>
    <w:tbl>
      <w:tblPr>
        <w:tblW w:w="8076" w:type="dxa"/>
        <w:jc w:val="left"/>
        <w:tblInd w:w="0" w:type="dxa"/>
        <w:tblLayout w:type="fixed"/>
        <w:tblCellMar>
          <w:top w:w="28" w:type="dxa"/>
          <w:left w:w="28" w:type="dxa"/>
          <w:bottom w:w="28" w:type="dxa"/>
          <w:right w:w="28" w:type="dxa"/>
        </w:tblCellMar>
      </w:tblPr>
      <w:tblGrid>
        <w:gridCol w:w="939"/>
        <w:gridCol w:w="824"/>
        <w:gridCol w:w="832"/>
        <w:gridCol w:w="291"/>
        <w:gridCol w:w="644"/>
        <w:gridCol w:w="150"/>
        <w:gridCol w:w="150"/>
        <w:gridCol w:w="150"/>
        <w:gridCol w:w="150"/>
        <w:gridCol w:w="291"/>
        <w:gridCol w:w="644"/>
        <w:gridCol w:w="150"/>
        <w:gridCol w:w="109"/>
        <w:gridCol w:w="109"/>
        <w:gridCol w:w="109"/>
        <w:gridCol w:w="265"/>
        <w:gridCol w:w="585"/>
        <w:gridCol w:w="136"/>
        <w:gridCol w:w="136"/>
        <w:gridCol w:w="136"/>
        <w:gridCol w:w="136"/>
        <w:gridCol w:w="265"/>
        <w:gridCol w:w="585"/>
        <w:gridCol w:w="13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SG&amp;A expense</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460" w:type="dxa"/>
        <w:jc w:val="left"/>
        <w:tblInd w:w="0" w:type="dxa"/>
        <w:tblLayout w:type="fixed"/>
        <w:tblCellMar>
          <w:top w:w="28" w:type="dxa"/>
          <w:left w:w="28" w:type="dxa"/>
          <w:bottom w:w="28" w:type="dxa"/>
          <w:right w:w="28" w:type="dxa"/>
        </w:tblCellMar>
      </w:tblPr>
      <w:tblGrid>
        <w:gridCol w:w="1118"/>
        <w:gridCol w:w="981"/>
        <w:gridCol w:w="991"/>
        <w:gridCol w:w="342"/>
        <w:gridCol w:w="756"/>
        <w:gridCol w:w="176"/>
        <w:gridCol w:w="109"/>
        <w:gridCol w:w="109"/>
        <w:gridCol w:w="109"/>
        <w:gridCol w:w="448"/>
        <w:gridCol w:w="992"/>
        <w:gridCol w:w="329"/>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Deficit</w:t>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deficit</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deficit</w:t>
            </w:r>
          </w:p>
        </w:tc>
        <w:tc>
          <w:tcPr>
            <w:tcW w:w="3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13. FAIR VALUE OF ASSETS AND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restricted cash accounts held in money market and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47445"/>
                <wp:effectExtent l="0" t="0" r="0" b="0"/>
                <wp:wrapNone/>
                <wp:docPr id="20" name="Frame2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are as follows:</w:t>
      </w:r>
    </w:p>
    <w:tbl>
      <w:tblPr>
        <w:tblW w:w="7968" w:type="dxa"/>
        <w:jc w:val="left"/>
        <w:tblInd w:w="0" w:type="dxa"/>
        <w:tblLayout w:type="fixed"/>
        <w:tblCellMar>
          <w:top w:w="28" w:type="dxa"/>
          <w:left w:w="28" w:type="dxa"/>
          <w:bottom w:w="28" w:type="dxa"/>
          <w:right w:w="28" w:type="dxa"/>
        </w:tblCellMar>
      </w:tblPr>
      <w:tblGrid>
        <w:gridCol w:w="640"/>
        <w:gridCol w:w="562"/>
        <w:gridCol w:w="568"/>
        <w:gridCol w:w="501"/>
        <w:gridCol w:w="859"/>
        <w:gridCol w:w="260"/>
        <w:gridCol w:w="109"/>
        <w:gridCol w:w="109"/>
        <w:gridCol w:w="109"/>
        <w:gridCol w:w="316"/>
        <w:gridCol w:w="541"/>
        <w:gridCol w:w="163"/>
        <w:gridCol w:w="109"/>
        <w:gridCol w:w="109"/>
        <w:gridCol w:w="109"/>
        <w:gridCol w:w="228"/>
        <w:gridCol w:w="390"/>
        <w:gridCol w:w="117"/>
        <w:gridCol w:w="109"/>
        <w:gridCol w:w="109"/>
        <w:gridCol w:w="109"/>
        <w:gridCol w:w="213"/>
        <w:gridCol w:w="412"/>
        <w:gridCol w:w="110"/>
        <w:gridCol w:w="109"/>
        <w:gridCol w:w="109"/>
        <w:gridCol w:w="109"/>
        <w:gridCol w:w="213"/>
        <w:gridCol w:w="412"/>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14. CONTINGENCIES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47445"/>
                <wp:effectExtent l="0" t="0" r="0" b="0"/>
                <wp:wrapNone/>
                <wp:docPr id="21" name="Frame2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15. NET INCOME PER COMMON SHARE COMPUTATIONS</w:t>
      </w:r>
    </w:p>
    <w:p>
      <w:pPr>
        <w:pStyle w:val="TextBody"/>
        <w:bidi w:val="0"/>
        <w:spacing w:lineRule="auto" w:line="417"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net income per common share computations:</w:t>
      </w:r>
    </w:p>
    <w:tbl>
      <w:tblPr>
        <w:tblW w:w="10205" w:type="dxa"/>
        <w:jc w:val="left"/>
        <w:tblInd w:w="0" w:type="dxa"/>
        <w:tblLayout w:type="fixed"/>
        <w:tblCellMar>
          <w:top w:w="28" w:type="dxa"/>
          <w:left w:w="28" w:type="dxa"/>
          <w:bottom w:w="28" w:type="dxa"/>
          <w:right w:w="28" w:type="dxa"/>
        </w:tblCellMar>
      </w:tblPr>
      <w:tblGrid>
        <w:gridCol w:w="1805"/>
        <w:gridCol w:w="1548"/>
        <w:gridCol w:w="1555"/>
        <w:gridCol w:w="272"/>
        <w:gridCol w:w="661"/>
        <w:gridCol w:w="140"/>
        <w:gridCol w:w="140"/>
        <w:gridCol w:w="140"/>
        <w:gridCol w:w="140"/>
        <w:gridCol w:w="272"/>
        <w:gridCol w:w="661"/>
        <w:gridCol w:w="140"/>
        <w:gridCol w:w="109"/>
        <w:gridCol w:w="109"/>
        <w:gridCol w:w="109"/>
        <w:gridCol w:w="248"/>
        <w:gridCol w:w="602"/>
        <w:gridCol w:w="128"/>
        <w:gridCol w:w="128"/>
        <w:gridCol w:w="128"/>
        <w:gridCol w:w="128"/>
        <w:gridCol w:w="248"/>
        <w:gridCol w:w="602"/>
        <w:gridCol w:w="192"/>
      </w:tblGrid>
      <w:tr>
        <w:trPr/>
        <w:tc>
          <w:tcPr>
            <w:tcW w:w="180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millions, except per share data) </w:t>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per common share:</w:t>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redeemable noncontrolling interests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net income per common share:</w:t>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stock awards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data:</w:t>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7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4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4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2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47445"/>
                <wp:effectExtent l="0" t="0" r="0" b="0"/>
                <wp:wrapNone/>
                <wp:docPr id="22" name="Frame2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net revenue from external customers, Adjusted EBITDA by segment and reconcile net income to 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revenue by segment is comprised of the following:</w:t>
      </w:r>
    </w:p>
    <w:tbl>
      <w:tblPr>
        <w:tblW w:w="8180" w:type="dxa"/>
        <w:jc w:val="left"/>
        <w:tblInd w:w="0" w:type="dxa"/>
        <w:tblLayout w:type="fixed"/>
        <w:tblCellMar>
          <w:top w:w="28" w:type="dxa"/>
          <w:left w:w="28" w:type="dxa"/>
          <w:bottom w:w="28" w:type="dxa"/>
          <w:right w:w="28" w:type="dxa"/>
        </w:tblCellMar>
      </w:tblPr>
      <w:tblGrid>
        <w:gridCol w:w="1014"/>
        <w:gridCol w:w="891"/>
        <w:gridCol w:w="900"/>
        <w:gridCol w:w="291"/>
        <w:gridCol w:w="644"/>
        <w:gridCol w:w="150"/>
        <w:gridCol w:w="150"/>
        <w:gridCol w:w="150"/>
        <w:gridCol w:w="150"/>
        <w:gridCol w:w="291"/>
        <w:gridCol w:w="644"/>
        <w:gridCol w:w="150"/>
        <w:gridCol w:w="109"/>
        <w:gridCol w:w="109"/>
        <w:gridCol w:w="109"/>
        <w:gridCol w:w="228"/>
        <w:gridCol w:w="667"/>
        <w:gridCol w:w="118"/>
        <w:gridCol w:w="118"/>
        <w:gridCol w:w="118"/>
        <w:gridCol w:w="118"/>
        <w:gridCol w:w="228"/>
        <w:gridCol w:w="667"/>
        <w:gridCol w:w="166"/>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240" w:after="120"/>
        <w:jc w:val="both"/>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47445"/>
                <wp:effectExtent l="0" t="0" r="0" b="0"/>
                <wp:wrapNone/>
                <wp:docPr id="23" name="Frame2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by segment is comprised of the following: </w:t>
      </w:r>
    </w:p>
    <w:tbl>
      <w:tblPr>
        <w:tblW w:w="10205" w:type="dxa"/>
        <w:jc w:val="left"/>
        <w:tblInd w:w="0" w:type="dxa"/>
        <w:tblLayout w:type="fixed"/>
        <w:tblCellMar>
          <w:top w:w="28" w:type="dxa"/>
          <w:left w:w="28" w:type="dxa"/>
          <w:bottom w:w="28" w:type="dxa"/>
          <w:right w:w="28" w:type="dxa"/>
        </w:tblCellMar>
      </w:tblPr>
      <w:tblGrid>
        <w:gridCol w:w="1424"/>
        <w:gridCol w:w="1223"/>
        <w:gridCol w:w="1067"/>
        <w:gridCol w:w="605"/>
        <w:gridCol w:w="1340"/>
        <w:gridCol w:w="317"/>
        <w:gridCol w:w="110"/>
        <w:gridCol w:w="110"/>
        <w:gridCol w:w="110"/>
        <w:gridCol w:w="725"/>
        <w:gridCol w:w="1605"/>
        <w:gridCol w:w="380"/>
        <w:gridCol w:w="110"/>
        <w:gridCol w:w="110"/>
        <w:gridCol w:w="110"/>
        <w:gridCol w:w="216"/>
        <w:gridCol w:w="477"/>
        <w:gridCol w:w="166"/>
      </w:tblGrid>
      <w:tr>
        <w:trPr/>
        <w:tc>
          <w:tcPr>
            <w:tcW w:w="142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24"/>
        <w:gridCol w:w="1223"/>
        <w:gridCol w:w="1067"/>
        <w:gridCol w:w="605"/>
        <w:gridCol w:w="1340"/>
        <w:gridCol w:w="317"/>
        <w:gridCol w:w="110"/>
        <w:gridCol w:w="110"/>
        <w:gridCol w:w="110"/>
        <w:gridCol w:w="725"/>
        <w:gridCol w:w="1605"/>
        <w:gridCol w:w="380"/>
        <w:gridCol w:w="110"/>
        <w:gridCol w:w="110"/>
        <w:gridCol w:w="110"/>
        <w:gridCol w:w="216"/>
        <w:gridCol w:w="477"/>
        <w:gridCol w:w="166"/>
      </w:tblGrid>
      <w:tr>
        <w:trPr/>
        <w:tc>
          <w:tcPr>
            <w:tcW w:w="142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operating expense primarily includes supplies, regulatory licenses and fees, property taxes, and third-party service fees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47445"/>
                <wp:effectExtent l="0" t="0" r="0" b="0"/>
                <wp:wrapNone/>
                <wp:docPr id="24" name="Frame2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center"/>
        <w:tblInd w:w="0" w:type="dxa"/>
        <w:tblLayout w:type="fixed"/>
        <w:tblCellMar>
          <w:top w:w="28" w:type="dxa"/>
          <w:left w:w="28" w:type="dxa"/>
          <w:bottom w:w="28" w:type="dxa"/>
          <w:right w:w="28" w:type="dxa"/>
        </w:tblCellMar>
      </w:tblPr>
      <w:tblGrid>
        <w:gridCol w:w="1426"/>
        <w:gridCol w:w="1227"/>
        <w:gridCol w:w="1070"/>
        <w:gridCol w:w="606"/>
        <w:gridCol w:w="1343"/>
        <w:gridCol w:w="318"/>
        <w:gridCol w:w="109"/>
        <w:gridCol w:w="109"/>
        <w:gridCol w:w="109"/>
        <w:gridCol w:w="726"/>
        <w:gridCol w:w="1609"/>
        <w:gridCol w:w="381"/>
        <w:gridCol w:w="109"/>
        <w:gridCol w:w="109"/>
        <w:gridCol w:w="109"/>
        <w:gridCol w:w="213"/>
        <w:gridCol w:w="471"/>
        <w:gridCol w:w="161"/>
      </w:tblGrid>
      <w:tr>
        <w:trPr/>
        <w:tc>
          <w:tcPr>
            <w:tcW w:w="142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26"/>
        <w:gridCol w:w="1227"/>
        <w:gridCol w:w="1070"/>
        <w:gridCol w:w="606"/>
        <w:gridCol w:w="1343"/>
        <w:gridCol w:w="318"/>
        <w:gridCol w:w="109"/>
        <w:gridCol w:w="109"/>
        <w:gridCol w:w="109"/>
        <w:gridCol w:w="726"/>
        <w:gridCol w:w="1609"/>
        <w:gridCol w:w="381"/>
        <w:gridCol w:w="109"/>
        <w:gridCol w:w="109"/>
        <w:gridCol w:w="109"/>
        <w:gridCol w:w="213"/>
        <w:gridCol w:w="471"/>
        <w:gridCol w:w="161"/>
      </w:tblGrid>
      <w:tr>
        <w:trPr/>
        <w:tc>
          <w:tcPr>
            <w:tcW w:w="142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operating expense primarily includes supplies, regulatory licenses and fees, property taxes, and third-party service fees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47445"/>
                <wp:effectExtent l="0" t="0" r="0" b="0"/>
                <wp:wrapNone/>
                <wp:docPr id="25" name="Frame2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by segment is comprised of the following: </w:t>
      </w:r>
    </w:p>
    <w:tbl>
      <w:tblPr>
        <w:tblW w:w="10205" w:type="dxa"/>
        <w:jc w:val="center"/>
        <w:tblInd w:w="0" w:type="dxa"/>
        <w:tblLayout w:type="fixed"/>
        <w:tblCellMar>
          <w:top w:w="28" w:type="dxa"/>
          <w:left w:w="28" w:type="dxa"/>
          <w:bottom w:w="28" w:type="dxa"/>
          <w:right w:w="28" w:type="dxa"/>
        </w:tblCellMar>
      </w:tblPr>
      <w:tblGrid>
        <w:gridCol w:w="1827"/>
        <w:gridCol w:w="1606"/>
        <w:gridCol w:w="1625"/>
        <w:gridCol w:w="255"/>
        <w:gridCol w:w="565"/>
        <w:gridCol w:w="131"/>
        <w:gridCol w:w="131"/>
        <w:gridCol w:w="131"/>
        <w:gridCol w:w="131"/>
        <w:gridCol w:w="255"/>
        <w:gridCol w:w="565"/>
        <w:gridCol w:w="131"/>
        <w:gridCol w:w="109"/>
        <w:gridCol w:w="109"/>
        <w:gridCol w:w="109"/>
        <w:gridCol w:w="238"/>
        <w:gridCol w:w="526"/>
        <w:gridCol w:w="123"/>
        <w:gridCol w:w="123"/>
        <w:gridCol w:w="123"/>
        <w:gridCol w:w="123"/>
        <w:gridCol w:w="238"/>
        <w:gridCol w:w="526"/>
        <w:gridCol w:w="123"/>
        <w:gridCol w:w="109"/>
        <w:gridCol w:w="109"/>
        <w:gridCol w:w="164"/>
      </w:tblGrid>
      <w:tr>
        <w:trPr/>
        <w:tc>
          <w:tcPr>
            <w:tcW w:w="182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total capital expenditures for each of our segments:</w:t>
      </w:r>
    </w:p>
    <w:tbl>
      <w:tblPr>
        <w:tblW w:w="5244" w:type="dxa"/>
        <w:jc w:val="left"/>
        <w:tblInd w:w="0" w:type="dxa"/>
        <w:tblLayout w:type="fixed"/>
        <w:tblCellMar>
          <w:top w:w="28" w:type="dxa"/>
          <w:left w:w="28" w:type="dxa"/>
          <w:bottom w:w="28" w:type="dxa"/>
          <w:right w:w="28" w:type="dxa"/>
        </w:tblCellMar>
      </w:tblPr>
      <w:tblGrid>
        <w:gridCol w:w="1073"/>
        <w:gridCol w:w="943"/>
        <w:gridCol w:w="954"/>
        <w:gridCol w:w="247"/>
        <w:gridCol w:w="546"/>
        <w:gridCol w:w="127"/>
        <w:gridCol w:w="127"/>
        <w:gridCol w:w="127"/>
        <w:gridCol w:w="127"/>
        <w:gridCol w:w="247"/>
        <w:gridCol w:w="546"/>
        <w:gridCol w:w="180"/>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7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47445"/>
                <wp:effectExtent l="0" t="0" r="0" b="0"/>
                <wp:wrapNone/>
                <wp:docPr id="26" name="Frame2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does not review disaggregated assets by segment. The measure of segment assets is reported on the balance sheet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47445"/>
                <wp:effectExtent l="0" t="0" r="0" b="0"/>
                <wp:wrapNone/>
                <wp:docPr id="27" name="Frame2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occurrence of extraordinary events, such as terrorist attacks, public health threats, civil unrest, and inclement weather, including as a result of climate change;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effect of economic conditions on our consumers' confidence and discretionary spending or our access to credit, including the impact of inflation;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or new interpretations of, applicable tax law or rulings that could result in additional tax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any pandemics, epidemics, or outbreaks of infectious diseases, and related economic matters on our results of operations, financial conditions, and prospects;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lack of confidence in the integrity of our core businesses or any deterioration in our reputation;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negative shifts in public opinion regarding gambling that could result in increased regulation of, or new restrictions on, the gaming industry;</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loss of key or highly skilled personnel, as well as general disruptions in the general labor market;</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significant competition, and the expectation that competition levels will increase;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consumer preferences, attendance, wagering, and sponsorships;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associated with equity investments, strategic alliances, and other third-party agreements;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respond to rapid technological changes in a timely manner;</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concentration and evolution of slot machine and historical racing machine ("HRM") manufacturing and other technology conditions that could impose additional costs;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failure to enter into or maintain agreements with industry constituents, including horsemen and other racetracks;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cybersecurity risk, including cybersecurity breaches, or loss or misuse of our confidential information as a result of a breach including customers’ personal information, or IT system operational disruptions, could lead to government enforcement actions or other litigation;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costs of compliance with increasingly complex laws and regulations regarding data privacy and protection of personal information;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reliance on our technology services and catastrophic events, system failures, errors or defects disrupting our operations;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identify, complete, or fully realize the benefits of, our proposed acquisitions, divestitures, development of new venues or the expansion of existing facilities on time, on budget, or as planned;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difficulty in integrating recent or future acquisitions into our operations;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cost overruns and other uncertainties associated with the development of new venues and the expansion of existing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47445"/>
                <wp:effectExtent l="0" t="0" r="0" b="0"/>
                <wp:wrapNone/>
                <wp:docPr id="28" name="Frame2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risks related to real estate ownership and significant expenditures, including risks related to environmental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personal injury litigation related to injuries occurring at our racetracks;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compliance with the Foreign Corrupt Practices Act or other similar laws and regulations, or applicable anti-money laundering regulations;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payment-related risks, such as risk associated with fraudulent credit card or debit card use;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work stoppages and labor problems;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related to pending or future legal proceedings and other actions;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highly regulated operations and changes in the regulatory environment could adversely affect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restrictions in our debt facilities limiting our flexibility to operate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failure to comply with the financial ratios and other covenants in our debt facilities and other indebtedness;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increases to interest rates, disruption in the credit markets or changes to our credit ratings may adversely affect our business;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increase in our insurance costs, or inability to obtain similar insurance coverage in the future, and any inability to recover under our insurance policies for damages sustained at our properties in the event of inclement weather and casualty events;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other factors described under the heading "Risk Factors" in our most recent Annual Report on Form 10-K and in other filings we make with the Securities and Exchange Commission.</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undertake any obligation to update or revise any forward-looking statements, whether as a result of new information, future events or otherwise, except as required by law.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information is unaudited. Tabular dollars are in millions, except per share amounts. All per share amounts assume dilution unless otherwise noted. This report should be read in conjunction with our Annual Report on Form 10-K for the year ended December 31, 2025, including Part I - Item 1A, "Risk Factors" of our Form 10-K for a discussion regarding some of the reasons that actual results may be materially different from those we anticipate.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47445"/>
                <wp:effectExtent l="0" t="0" r="0" b="0"/>
                <wp:wrapNone/>
                <wp:docPr id="29" name="Frame2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We aggregate our other businesses as well as certain corporate operations in All Other.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Key Indicators to Evaluate Business Results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earnings before interest, taxes, depreciation and amortization, adjusted for the following: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segment reporting, Adjusted EBITDA includes intercompany revenue and expense totals that are eliminated in the Condensed Consolidated Statements of Comprehensive Income. See the Reconciliation of Net Income to Adjusted EBITDA included in this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Governmental Regulations and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2025, including Part I - Item 1, "Business" for a discussion of regulatory and legislative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47445"/>
                <wp:effectExtent l="0" t="0" r="0" b="0"/>
                <wp:wrapNone/>
                <wp:docPr id="30" name="Frame3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Specific State Gaming Regulations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Louisiana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Louisiana, the 2021 Historical Horse Racing Act (the "2021 HHR Act") allows off-track betting facilities ("OTBs") to have up to 50 HRMs in each OTB. The Company installed approximately 500 HRMs across our 13 OTBs after the 2021 HHR Act was approved. On October 25, 2022, a number of individual plaintiffs associated with video poker and truck stops, filed a lawsuit in the 19th Judicial District Court in East Baton Rouge, Louisiana, against certain racetracks in Louisiana, including our Fair Grounds Race Course and Slots business, alleging that the 2021 HHR Act was unconstitutional to the extent it purports to permit historical racing in a parish without a referendum.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Louisiana Supreme Court opinion affirming the ruling of the District Court became final and enforceable May 8, 2025. The Company discontinued its HRM operations in Louisiana on May 8, 2025 and moved the HRMs in the Louisiana OTBs to other HRM venues, primarily located in Virginia. The reduction in revenues resulting from the removal of the HRMs from our OTBs in Louisiana has negatively impacted the comparability of the 2026 Louisiana results to the prior year. The results of the HRMs in Louisiana operations were reported in our Gaming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Financial Results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net revenue, operating income, net income attributable to Churchill Downs Incorporated, Adjusted EBITDA, and certain other financial information:</w:t>
      </w:r>
    </w:p>
    <w:tbl>
      <w:tblPr>
        <w:tblW w:w="10205" w:type="dxa"/>
        <w:jc w:val="left"/>
        <w:tblInd w:w="0" w:type="dxa"/>
        <w:tblLayout w:type="fixed"/>
        <w:tblCellMar>
          <w:top w:w="28" w:type="dxa"/>
          <w:left w:w="28" w:type="dxa"/>
          <w:bottom w:w="28" w:type="dxa"/>
          <w:right w:w="28" w:type="dxa"/>
        </w:tblCellMar>
      </w:tblPr>
      <w:tblGrid>
        <w:gridCol w:w="1273"/>
        <w:gridCol w:w="1027"/>
        <w:gridCol w:w="991"/>
        <w:gridCol w:w="303"/>
        <w:gridCol w:w="173"/>
        <w:gridCol w:w="389"/>
        <w:gridCol w:w="156"/>
        <w:gridCol w:w="156"/>
        <w:gridCol w:w="156"/>
        <w:gridCol w:w="303"/>
        <w:gridCol w:w="173"/>
        <w:gridCol w:w="389"/>
        <w:gridCol w:w="109"/>
        <w:gridCol w:w="109"/>
        <w:gridCol w:w="109"/>
        <w:gridCol w:w="232"/>
        <w:gridCol w:w="398"/>
        <w:gridCol w:w="121"/>
        <w:gridCol w:w="109"/>
        <w:gridCol w:w="109"/>
        <w:gridCol w:w="109"/>
        <w:gridCol w:w="283"/>
        <w:gridCol w:w="172"/>
        <w:gridCol w:w="416"/>
        <w:gridCol w:w="146"/>
        <w:gridCol w:w="146"/>
        <w:gridCol w:w="146"/>
        <w:gridCol w:w="283"/>
        <w:gridCol w:w="172"/>
        <w:gridCol w:w="416"/>
        <w:gridCol w:w="109"/>
        <w:gridCol w:w="109"/>
        <w:gridCol w:w="109"/>
        <w:gridCol w:w="231"/>
        <w:gridCol w:w="395"/>
        <w:gridCol w:w="178"/>
      </w:tblGrid>
      <w:tr>
        <w:trPr/>
        <w:tc>
          <w:tcPr>
            <w:tcW w:w="12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revenue increased $46 million driven by a $33 million increase from the Live and Historical Racing segment primarily due to a record-breaking Derby Week at Churchill Downs Racetrack, a $9 million increase from the Wagering Services and Solutions segment, and a $4 million increase from the Gaming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Operating income increased $30 million driven by a $21 million increase from the Live and Historical Racing segment primarily due to a record-breaking Derby Week at Churchill Downs Racetrack, a $4 million increase from the Wagering Services and Solutions segment, a $3 million increase from the Gaming segment, a $2 million increase attributable to the non-cash impairment charge of Virginia HRMs that did not recur in the current period, and $1 million decrease in transaction costs. These increases were offset by a $1 million decrease from All Other.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income attributable to Churchill Downs Incorporated increased $24 million. The following impacted the comparability of the Company's net income for the three months ended June 30, 2026 compared to the three months ended June 30, 2025: a $4 million after-tax decrease in transaction, pre-opening, and other expenses and a $2 million after-tax decrease related to an impairment charge in the prior year quarter related to a write-off of obsolete HRMs in Virginia. Excluding these items, net income increased $18 million due to a $10 million after-tax increase primarily driven by the results of our operations, a $4 million after-tax increase in equity income from our unconsolidated affiliates, and a $4 million after-tax decrease in interest expense.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increased $26 million driven by a $21 million increase from the Live and Historical Racing segment primarily due to a record-breaking Derby Week at Churchill Downs Racetrack, a $4 million increase from the Wagering Services and Solutions segment, and a $6 million increase from the Gaming segment. These increases were partially offset by $5 million decrease from All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47445"/>
                <wp:effectExtent l="0" t="0" r="0" b="0"/>
                <wp:wrapNone/>
                <wp:docPr id="31" name="Frame3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revenue increased $66 million driven by a $57 million increase from the Live and Historical Racing segment primarily due to a record-breaking Derby Week at Churchill Downs Racetrack, and an $11 million increase from the Wagering Services and Solutions segment. These increases were partially offset by a $2 million decrease from the Gaming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Operating income increased $38 million driven by an $36 million increase from the Live and Historical Racing segment primarily due to a record-breaking Derby Week at Churchill Downs Racetrack, a $5 million increase from the Wagering Services and Solutions segment, a $1 million increase from the Gaming segment, and a $2 million increase attributable to the non-cash impairment charge of Virginia HRMs that did not recur in the current period. These increases were offset by a $4 million increase in selling, general and administrative expenses and a $2 million decrease from All Other.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income attributable to Churchill Downs Incorporated increased $30 million. The following impacted the comparability of the Company's net income for the six months ended June 30, 2026 compared to the six months ended June 30, 2025: a $3 million after-tax decrease in other charges and recoveries, a $2 million after-tax decrease in transaction, pre-opening, and other expenses, and a $2 million after-tax decrease related to an impairment charge in the prior year quarter related to a write-off of obsolete HRMs in Virginia. Excluding these items, net income increased $23 million due to a $13 million after-tax increase primarily driven by the results of our operations, a $6 million after-tax increase in equity income from our unconsolidated affiliates, and a $4 million after-tax decrease in interest expense.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increased $38 million driven by a $32 million increase from the Live and Historical Racing segment primarily due to a record-breaking Derby Week at Churchill Downs Racetrack, an $8 million increase from the Wagering Services and Solutions segment, and a $5 million increase from the Gaming segment. These increases were partially offset by a $7 million decrease from All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 xml:space="preserve">Revenue by Segment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for our segments, including intercompany revenue:</w:t>
      </w:r>
    </w:p>
    <w:tbl>
      <w:tblPr>
        <w:tblW w:w="10205" w:type="dxa"/>
        <w:jc w:val="left"/>
        <w:tblInd w:w="0" w:type="dxa"/>
        <w:tblLayout w:type="fixed"/>
        <w:tblCellMar>
          <w:top w:w="28" w:type="dxa"/>
          <w:left w:w="28" w:type="dxa"/>
          <w:bottom w:w="28" w:type="dxa"/>
          <w:right w:w="28" w:type="dxa"/>
        </w:tblCellMar>
      </w:tblPr>
      <w:tblGrid>
        <w:gridCol w:w="992"/>
        <w:gridCol w:w="860"/>
        <w:gridCol w:w="867"/>
        <w:gridCol w:w="286"/>
        <w:gridCol w:w="634"/>
        <w:gridCol w:w="147"/>
        <w:gridCol w:w="147"/>
        <w:gridCol w:w="147"/>
        <w:gridCol w:w="147"/>
        <w:gridCol w:w="286"/>
        <w:gridCol w:w="634"/>
        <w:gridCol w:w="147"/>
        <w:gridCol w:w="109"/>
        <w:gridCol w:w="109"/>
        <w:gridCol w:w="109"/>
        <w:gridCol w:w="232"/>
        <w:gridCol w:w="398"/>
        <w:gridCol w:w="121"/>
        <w:gridCol w:w="109"/>
        <w:gridCol w:w="109"/>
        <w:gridCol w:w="109"/>
        <w:gridCol w:w="227"/>
        <w:gridCol w:w="665"/>
        <w:gridCol w:w="117"/>
        <w:gridCol w:w="117"/>
        <w:gridCol w:w="117"/>
        <w:gridCol w:w="117"/>
        <w:gridCol w:w="227"/>
        <w:gridCol w:w="665"/>
        <w:gridCol w:w="117"/>
        <w:gridCol w:w="109"/>
        <w:gridCol w:w="109"/>
        <w:gridCol w:w="109"/>
        <w:gridCol w:w="231"/>
        <w:gridCol w:w="395"/>
        <w:gridCol w:w="184"/>
      </w:tblGrid>
      <w:tr>
        <w:trPr/>
        <w:tc>
          <w:tcPr>
            <w:tcW w:w="99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2026, Compared to Three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Live and Historical Racing revenue increased $34 million due to a $21 million increase from Churchill Downs Racetrack, a $12 million increase from our Kentucky HRM venues, and a $1 million increase from our Virginia HRM venues. The Churchill Downs Racetrack increase was primarily due to a record-breaking Derby Week, including increased NBC broadcast revenue, increased ticketing revenue, increased sponsorship and licensing revenue, and increased wagering revenue. The Kentucky HRM increase was due to a $5 million increase from our Southwestern Kentucky venues, a $3 million increase from our Northern Kentucky venues, a $3 million increase from our Western Kentucky venues, and a $1 million increase from our Louisville venues. The Virginia HRM increase was due to a $5 million net increase primarily from our Northern Virginia venues, partially offset by a $4 million net decrease from our Central Virginia venues primarily from increased competition.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revenue increased $10 million due to $9 million growth in our Horse Racing business from record-breaking Derby Week wagering and a $1 million increase from our Exacta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Gaming revenue increased $4 million</w:t>
      </w:r>
      <w:r>
        <w:rPr>
          <w:color w:val="000000"/>
          <w:shd w:fill="FFFFFF" w:val="clear"/>
        </w:rPr>
        <w:t xml:space="preserve"> </w:t>
      </w:r>
      <w:r>
        <w:rPr>
          <w:rFonts w:ascii="Times New Roman;serif" w:hAnsi="Times New Roman;serif"/>
          <w:b w:val="false"/>
          <w:color w:val="000000"/>
          <w:sz w:val="20"/>
        </w:rPr>
        <w:t>primarily due to an $8 million increase primarily from our New York, Indiana, and Maryland properties, partially offset by a $4 million decrease primarily from the cessation of HRM operations in Louisiana in May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47445"/>
                <wp:effectExtent l="0" t="0" r="0" b="0"/>
                <wp:wrapNone/>
                <wp:docPr id="32" name="Frame3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revenue is consistent with the prior year. All intercompany captive revenue is eliminated in consolidation.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Live and Historical Racing revenue increased $58 million due to a $20 million increase from Churchill Downs Racetrack, a $29 million increase from our Kentucky HRM venues, a $6 million increase from our Virginia HRM venues, and a $3 million increase primarily from New Hampshire venues. The Churchill Downs Racetrack increase was primarily due to a record-breaking Derby Week, including increased NBC broadcast revenue, increased ticketing revenue, increased sponsorship and licensing revenue, and increased wagering revenue. The Kentucky HRM increase was primarily due to a $9 million increase from our Western Kentucky venues, an $8 million increase from our Southwestern Kentucky venues, an $8 million increase from our Northern Kentucky venues, and a $4 million increase from our Louisville venues. The Virginia HRM increase was primarily due to a $10 million net increase from our Northern Virginia venues and a $1 million increase from our Western Virginia venue, partially offset by a net $5 million decrease from Central Virginia venues primarily from increased competition.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revenue increased $12 million due to $9 million growth in our Horse Racing business from record-breaking Derby Week wagering, a $2 million net increase in our retail and online sportsbooks, and a $1 million increase from our Exacta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Gaming revenue decreased $1 million primarily due to a $14 million net decrease from our Louisiana, Florida, and Mississippi properties primarily from the cessation of HRM operations in Louisiana in May 2025, partially offset by a $13 million increase in our New York, Indiana, Maryland, and Iowa properties.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revenue is consistent with the prior year. All intercompany captive revenue is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Consolidated Operating Expense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consolidated operating expense:</w:t>
      </w:r>
    </w:p>
    <w:tbl>
      <w:tblPr>
        <w:tblW w:w="10205" w:type="dxa"/>
        <w:jc w:val="left"/>
        <w:tblInd w:w="0" w:type="dxa"/>
        <w:tblLayout w:type="fixed"/>
        <w:tblCellMar>
          <w:top w:w="28" w:type="dxa"/>
          <w:left w:w="28" w:type="dxa"/>
          <w:bottom w:w="28" w:type="dxa"/>
          <w:right w:w="28" w:type="dxa"/>
        </w:tblCellMar>
      </w:tblPr>
      <w:tblGrid>
        <w:gridCol w:w="1139"/>
        <w:gridCol w:w="879"/>
        <w:gridCol w:w="854"/>
        <w:gridCol w:w="414"/>
        <w:gridCol w:w="241"/>
        <w:gridCol w:w="220"/>
        <w:gridCol w:w="197"/>
        <w:gridCol w:w="197"/>
        <w:gridCol w:w="197"/>
        <w:gridCol w:w="414"/>
        <w:gridCol w:w="241"/>
        <w:gridCol w:w="220"/>
        <w:gridCol w:w="109"/>
        <w:gridCol w:w="109"/>
        <w:gridCol w:w="109"/>
        <w:gridCol w:w="232"/>
        <w:gridCol w:w="398"/>
        <w:gridCol w:w="121"/>
        <w:gridCol w:w="109"/>
        <w:gridCol w:w="109"/>
        <w:gridCol w:w="109"/>
        <w:gridCol w:w="385"/>
        <w:gridCol w:w="297"/>
        <w:gridCol w:w="274"/>
        <w:gridCol w:w="182"/>
        <w:gridCol w:w="182"/>
        <w:gridCol w:w="182"/>
        <w:gridCol w:w="385"/>
        <w:gridCol w:w="297"/>
        <w:gridCol w:w="274"/>
        <w:gridCol w:w="109"/>
        <w:gridCol w:w="109"/>
        <w:gridCol w:w="109"/>
        <w:gridCol w:w="231"/>
        <w:gridCol w:w="395"/>
        <w:gridCol w:w="176"/>
      </w:tblGrid>
      <w:tr>
        <w:trPr/>
        <w:tc>
          <w:tcPr>
            <w:tcW w:w="113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 and purses</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 xml:space="preserve">Three and Six Months Ended June 30, 2026, Compared to Three and Six Months Ended June 30,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$16 million and $28 million for the three and six months ended June 30, 2026 compared to June 30, 2025 primarily due to higher gaming taxes as a result of increased revenues. The remaining increase is primarily driven by normal inflationary activity resulting in increased operational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47445"/>
                <wp:effectExtent l="0" t="0" r="0" b="0"/>
                <wp:wrapNone/>
                <wp:docPr id="33" name="Frame3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tbl>
      <w:tblPr>
        <w:tblW w:w="10205" w:type="dxa"/>
        <w:jc w:val="left"/>
        <w:tblInd w:w="0" w:type="dxa"/>
        <w:tblLayout w:type="fixed"/>
        <w:tblCellMar>
          <w:top w:w="28" w:type="dxa"/>
          <w:left w:w="28" w:type="dxa"/>
          <w:bottom w:w="28" w:type="dxa"/>
          <w:right w:w="28" w:type="dxa"/>
        </w:tblCellMar>
      </w:tblPr>
      <w:tblGrid>
        <w:gridCol w:w="990"/>
        <w:gridCol w:w="870"/>
        <w:gridCol w:w="876"/>
        <w:gridCol w:w="286"/>
        <w:gridCol w:w="635"/>
        <w:gridCol w:w="147"/>
        <w:gridCol w:w="147"/>
        <w:gridCol w:w="147"/>
        <w:gridCol w:w="147"/>
        <w:gridCol w:w="286"/>
        <w:gridCol w:w="635"/>
        <w:gridCol w:w="147"/>
        <w:gridCol w:w="109"/>
        <w:gridCol w:w="109"/>
        <w:gridCol w:w="109"/>
        <w:gridCol w:w="232"/>
        <w:gridCol w:w="398"/>
        <w:gridCol w:w="121"/>
        <w:gridCol w:w="109"/>
        <w:gridCol w:w="109"/>
        <w:gridCol w:w="109"/>
        <w:gridCol w:w="262"/>
        <w:gridCol w:w="579"/>
        <w:gridCol w:w="134"/>
        <w:gridCol w:w="134"/>
        <w:gridCol w:w="134"/>
        <w:gridCol w:w="134"/>
        <w:gridCol w:w="262"/>
        <w:gridCol w:w="579"/>
        <w:gridCol w:w="134"/>
        <w:gridCol w:w="109"/>
        <w:gridCol w:w="109"/>
        <w:gridCol w:w="109"/>
        <w:gridCol w:w="231"/>
        <w:gridCol w:w="395"/>
        <w:gridCol w:w="182"/>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Live and Historical Racing Adjusted EBITDA increased $21 million due to a $16 million increase from Churchill Downs Racetrack, a $6 million increase from our Kentucky HRM venues, and a $1 million increase from our Virginia HRM venues, partially offset by a $2 million decrease at our New Hampshire venues primarily due to the planned closure of our temporary Casino Salem venue during the construction of the Rockingham Grand Casino venue. The Churchill Downs Racetrack increase was primarily due to a record-breaking Derby Week, including increased NBC broadcast revenue, increased ticketing revenue, increased sponsorship and licensing revenue, and increased wagering revenue, partially offset by higher operating expenses. The Kentucky HRM increase was due to a $2 million increase from our Northern Kentucky venues, a $2 million increase from our Southwestern Kentucky venues, and a $2 million increase from our Western Kentucky venues. The Virginia HRM increase was primarily due to a $4 million net increase from our Northern Virginia venues, a $1 million increase from our Western Virginia venue, and a $1 million increase from our Southern Virginia venues, partially offset by a $5 million net decrease from our Central Virginia venues primarily from increased competition.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Adjusted EBITDA increased $4 million due to a $3 million increase from our Horse Racing business and a $1 million increase from our Exacta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Gaming Adjusted EBITDA increased $6 million. Our equity investments increased $4 million from strong performance at Rivers Des Plaines in Illinois and Miami Valley Gaming in Ohio. Our wholly-owned gaming properties increased $4 million from strong performance at our New York venue, partially offset by a $2 million decrease primarily from the cessation of HRM operations in Louisiana in May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decreased $5 million primarily due to a reduction of corporate legal-related fees in the prior year quarter and claim development within our captive insurance company.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Live and Historical Racing Adjusted EBITDA increased $32 million due to a $14 million increase from Churchill Downs Racetrack, a $15 million increase from our Kentucky HRM venues, and a $4 million increase from our Virginia HRM venues, partially offset by a $1 million decrease at our New Hampshire venues primarily due to the planned closure of our temporary Casino Salem venue during the construction of the Rockingham Grand Casino venue. The Churchill Downs Racetrack increase was primarily due to a record-breaking Derby Week, including increased NBC broadcast revenue, increased ticketing revenue, increased sponsorship and licensing revenue, and increased wagering revenue, partially offset by higher operating expenses. The Kentucky HRM increase was due to a $6 million increase from our Northern Kentucky venues, a $5 million increase from our Western Kentucky venues, a $2 million increase from our Southwestern Kentucky venues, and a $3 million increase from our Louisville venues. The Virginia HRM increase was primarily due to an $11 million net increase from our Northern Virginia venues, and a $2 million net increase from our Western Virginia and Southern Virginia venues, partially offset by a $9 million net decrease from our Central Virginia venues primarily from increased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47445"/>
                <wp:effectExtent l="0" t="0" r="0" b="0"/>
                <wp:wrapNone/>
                <wp:docPr id="34" name="Frame3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Adjusted EBITDA increased $8 million due to a $5 million increase from our Horse Racing business, a $2 million increase in online and retail sports betting, and a $1 million increase from our Exacta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Gaming Adjusted EBITDA increased $5 million due to a $6 million increase from strong performance at Rivers Des Plaines in Illinois and Miami Valley Gaming in Ohio. Our wholly-owned gaming properties increased $7 million from our New York and Maryland venues, offset by a $8 million decrease from our other eight wholly-owned gaming venues.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decreased $7 million primarily due to a reduction of corporate legal-related fees in the prior year and claim development within our captive insurance company.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10205" w:type="dxa"/>
        <w:jc w:val="left"/>
        <w:tblInd w:w="0" w:type="dxa"/>
        <w:tblLayout w:type="fixed"/>
        <w:tblCellMar>
          <w:top w:w="28" w:type="dxa"/>
          <w:left w:w="28" w:type="dxa"/>
          <w:bottom w:w="28" w:type="dxa"/>
          <w:right w:w="28" w:type="dxa"/>
        </w:tblCellMar>
      </w:tblPr>
      <w:tblGrid>
        <w:gridCol w:w="1296"/>
        <w:gridCol w:w="1039"/>
        <w:gridCol w:w="1053"/>
        <w:gridCol w:w="243"/>
        <w:gridCol w:w="538"/>
        <w:gridCol w:w="125"/>
        <w:gridCol w:w="125"/>
        <w:gridCol w:w="125"/>
        <w:gridCol w:w="125"/>
        <w:gridCol w:w="243"/>
        <w:gridCol w:w="538"/>
        <w:gridCol w:w="125"/>
        <w:gridCol w:w="109"/>
        <w:gridCol w:w="109"/>
        <w:gridCol w:w="109"/>
        <w:gridCol w:w="232"/>
        <w:gridCol w:w="398"/>
        <w:gridCol w:w="121"/>
        <w:gridCol w:w="109"/>
        <w:gridCol w:w="109"/>
        <w:gridCol w:w="109"/>
        <w:gridCol w:w="232"/>
        <w:gridCol w:w="514"/>
        <w:gridCol w:w="119"/>
        <w:gridCol w:w="119"/>
        <w:gridCol w:w="119"/>
        <w:gridCol w:w="119"/>
        <w:gridCol w:w="232"/>
        <w:gridCol w:w="514"/>
        <w:gridCol w:w="119"/>
        <w:gridCol w:w="109"/>
        <w:gridCol w:w="109"/>
        <w:gridCol w:w="109"/>
        <w:gridCol w:w="231"/>
        <w:gridCol w:w="395"/>
        <w:gridCol w:w="185"/>
      </w:tblGrid>
      <w:tr>
        <w:trPr/>
        <w:tc>
          <w:tcPr>
            <w:tcW w:w="12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Balance Sheet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overall financial position:</w:t>
      </w:r>
    </w:p>
    <w:tbl>
      <w:tblPr>
        <w:tblW w:w="5828" w:type="dxa"/>
        <w:jc w:val="left"/>
        <w:tblInd w:w="0" w:type="dxa"/>
        <w:tblLayout w:type="fixed"/>
        <w:tblCellMar>
          <w:top w:w="28" w:type="dxa"/>
          <w:left w:w="28" w:type="dxa"/>
          <w:bottom w:w="28" w:type="dxa"/>
          <w:right w:w="28" w:type="dxa"/>
        </w:tblCellMar>
      </w:tblPr>
      <w:tblGrid>
        <w:gridCol w:w="499"/>
        <w:gridCol w:w="438"/>
        <w:gridCol w:w="443"/>
        <w:gridCol w:w="287"/>
        <w:gridCol w:w="839"/>
        <w:gridCol w:w="148"/>
        <w:gridCol w:w="109"/>
        <w:gridCol w:w="109"/>
        <w:gridCol w:w="109"/>
        <w:gridCol w:w="387"/>
        <w:gridCol w:w="1135"/>
        <w:gridCol w:w="202"/>
        <w:gridCol w:w="109"/>
        <w:gridCol w:w="109"/>
        <w:gridCol w:w="109"/>
        <w:gridCol w:w="231"/>
        <w:gridCol w:w="395"/>
        <w:gridCol w:w="170"/>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Significant items affecting the comparability of our Condensed Consolidated Balance Sheets include: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assets increased $36 million driven by an increase in restricted cash, accounts receivable, and other current assets, including prepaid insurance and information technology related items. These increases were partially offset by a decrease in income taxes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47445"/>
                <wp:effectExtent l="0" t="0" r="0" b="0"/>
                <wp:wrapNone/>
                <wp:docPr id="35" name="Frame3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liabilities decreased $299 million driven primarily by a decrease in the outstanding balance on the Revolver, which is included in long-term debt, and decreases in current deferred revenue due to the recognition of revenue related to the 152nd Kentucky Derby, and a decrease in dividends payable due to the payment of the annual dividend. These decreases were partially offset by an increase in accounts payable, income taxes payable and deferred income taxes.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equity increased $331 million driven by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liquidity and cash flows:</w:t>
      </w:r>
    </w:p>
    <w:tbl>
      <w:tblPr>
        <w:tblW w:w="5243" w:type="dxa"/>
        <w:jc w:val="left"/>
        <w:tblInd w:w="0" w:type="dxa"/>
        <w:tblLayout w:type="fixed"/>
        <w:tblCellMar>
          <w:top w:w="28" w:type="dxa"/>
          <w:left w:w="28" w:type="dxa"/>
          <w:bottom w:w="28" w:type="dxa"/>
          <w:right w:w="28" w:type="dxa"/>
        </w:tblCellMar>
      </w:tblPr>
      <w:tblGrid>
        <w:gridCol w:w="629"/>
        <w:gridCol w:w="553"/>
        <w:gridCol w:w="558"/>
        <w:gridCol w:w="265"/>
        <w:gridCol w:w="585"/>
        <w:gridCol w:w="136"/>
        <w:gridCol w:w="136"/>
        <w:gridCol w:w="136"/>
        <w:gridCol w:w="136"/>
        <w:gridCol w:w="265"/>
        <w:gridCol w:w="585"/>
        <w:gridCol w:w="136"/>
        <w:gridCol w:w="109"/>
        <w:gridCol w:w="109"/>
        <w:gridCol w:w="109"/>
        <w:gridCol w:w="231"/>
        <w:gridCol w:w="395"/>
        <w:gridCol w:w="17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provided by operating activities increased $25 million driven primarily by an increase in net income and deferred taxes, partially offset by a decrease in income taxes.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used in investing activities decreased $47 million primarily driven by decreased capital expenditures in 2026.</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used in financing activities increased $100 million primarily driven by an increase in paydowns of the Revolver offset by the reduction of share repurchases in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announced several project capital investments, including the following: Rockingham Grand Casino in New Hampshire and Victory Run at Churchill Downs Racetrack. We currently expect our project capital to be approximately $180 to $220 million in 2026, although this amount may vary significantly based on the timing of work completed, unanticipated delays, and timing of payments to third parties. </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$430 million of repurchase authority remaining under the July 2025 Stock Repurchase Program at June 30, 2026,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new common stock repurchase program of up to $500 million (the "March 2025 Stock Repurchase Program"). The March 2025 Stock Repurchase Program included and was not in addition to any unspent amount remaining under the prior authorization. As described above, the March 2025 Stock Repurchase Program has since been replaced by the July 2025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47445"/>
                <wp:effectExtent l="0" t="0" r="0" b="0"/>
                <wp:wrapNone/>
                <wp:docPr id="36" name="Frame3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Credit Facilities and Indebtedness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debt outstanding:</w:t>
      </w:r>
    </w:p>
    <w:tbl>
      <w:tblPr>
        <w:tblW w:w="9118" w:type="dxa"/>
        <w:jc w:val="left"/>
        <w:tblInd w:w="0" w:type="dxa"/>
        <w:tblLayout w:type="fixed"/>
        <w:tblCellMar>
          <w:top w:w="28" w:type="dxa"/>
          <w:left w:w="28" w:type="dxa"/>
          <w:bottom w:w="28" w:type="dxa"/>
          <w:right w:w="28" w:type="dxa"/>
        </w:tblCellMar>
      </w:tblPr>
      <w:tblGrid>
        <w:gridCol w:w="1649"/>
        <w:gridCol w:w="1448"/>
        <w:gridCol w:w="1463"/>
        <w:gridCol w:w="287"/>
        <w:gridCol w:w="839"/>
        <w:gridCol w:w="148"/>
        <w:gridCol w:w="109"/>
        <w:gridCol w:w="109"/>
        <w:gridCol w:w="109"/>
        <w:gridCol w:w="387"/>
        <w:gridCol w:w="1135"/>
        <w:gridCol w:w="202"/>
        <w:gridCol w:w="109"/>
        <w:gridCol w:w="109"/>
        <w:gridCol w:w="109"/>
        <w:gridCol w:w="211"/>
        <w:gridCol w:w="541"/>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net of premiums and discounts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senior secured credit facility (as amended from time to time, the "Credit Agreement") consisted of a $1.2 billion revolving credit facility (the "Revolver"), $284 million senior secured term loan B-1 (the "Term Loan B-1"), $1.1 billion senior secured term loan A (the "Term Loan A"), and $100 million swing line commitment. On July 3, 2024, the Company closed an amendment of the Credit Agreement to (i) extend the maturity date of the Revolver and Term Loan A from 2027 to 2029 and (ii) amend certain other provisions to the 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as set forth therein.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Term Loan B-1 requires quarterly payments of 0.25% of the original $300 million balance. The Term Loan B-1 may be subject to additional mandatory prepayment from excess cash flow on an annual basis per the provisions of the 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June 30, 2026, that applicable margin was 150 basis points which was based on the pricing grid in the Credit Agreement. The Company had $861 million available borrowing capacity, after consideration of $10 million in outstanding letters of credit, under the Revolver as of June 30,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pay a commitment fee on the unused portion of the Revolver as determined by a pricing grid based on the consolidated total net secured leverage ratio of the Company. For the period ended June 30, 2026, the Company's commitment fee rate was 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estimated contractual payments, including interest, under the Credit Agreement for the next twelve months are estimated to be $152 million assuming no change in the weighted average borrowing rate of 5.27%, which was in place as of June 30, 2026. During the six months ended June 30, 2026, we had repayments of principal and interest on the Credit Agreement of $1.1 billion.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$600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47445"/>
                <wp:effectExtent l="0" t="0" r="0" b="0"/>
                <wp:wrapNone/>
                <wp:docPr id="37" name="Frame3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 total of $700 million in aggregate principal amount of 4.750% senior unsecured notes (the "2028 Senior Notes") maturing on January 15, 2028. The 2028 Senior Notes consist of $500 million notes issued at par and $200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of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$1.2 billion in aggregate principal amount of 5.750% senior unsecured notes that mature on April 1, 2030 (the "2030 Senior Notes"). The 2030 Senior Notes were issued at par in a private offering to qualified institutional buyers, with interest payable in arrears on April 1st and October 1st of each year, commencing on October 1st, 2022. The Company may redeem some or all of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$600 million in aggregate principal amount of 6.750% senior unsecured notes that mature on May 1,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2031 Indenture.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real estate and other property. Most of our building and land leases have terms of 2 to 10 years and include one or more options to renew, with renewal terms that can extend the lease term by 1 to 5 years or more. Certain of our lease agreements include lease payments based on a percentage of net gaming revenue and others include periodic rental payment adjustments for inflation. As of June 30, 2026, minimum rent payable under operating leases was $52 million, with $7 million due in the next twelve months. As of June 30, 2026, minimum rent payable accounted for as financing obligations was $32 million, with $4 million due in the next twelve months.</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Other Contractual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other contractual obligations with commitments of $9 million, $2 million of which is due within the next twelve months.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raising funds via debt markets. Our ability to raise debt and the terms under which we would fund the obligations are subject to our ability to access the debt markets and other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interest rate and credit risk.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General economic trends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sensitive to consumer confidence and reductions in consumers' discretionary spending, which may result from challenging economic conditions, interest rate fluctuations,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47445"/>
                <wp:effectExtent l="0" t="0" r="0" b="0"/>
                <wp:wrapNone/>
                <wp:docPr id="38" name="Frame3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Interest rate and credit risk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exposure to market risk relates to changes in interest rates. On June 30, 2026, we had $1.7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35"/>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that we file or submit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June 30, 2026. Based upon the foregoing, our Chief Executive Officer and Chief Financial Officer concluded that our disclosure controls and procedures were effective.</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completed the implementation of a new financial reporting system. In connection with the implementation, the Company modified and enhanced its controls and reporting capabilities. Management believes the controls are appropriately designed and will continue to evaluate the effectiveness of its information technology and overall controls. There have been no other changes in our internal control over financial reporting, as defined in Rule 13a-15(f) of the Act, during the period covered by this report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47445"/>
                <wp:effectExtent l="0" t="0" r="0" b="0"/>
                <wp:wrapNone/>
                <wp:docPr id="39" name="Frame3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ordinary routine litigation matters which are incidental to our business. Refer to Note 14, Contingencies, in the notes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risk factors previously disclosed in Part I, Item 1A of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Issuer Purchases of Common Stock</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shares of common stock that we repurchased during the quarter ended June 30, 2026:</w:t>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493"/>
        <w:gridCol w:w="493"/>
        <w:gridCol w:w="494"/>
        <w:gridCol w:w="109"/>
        <w:gridCol w:w="109"/>
        <w:gridCol w:w="109"/>
        <w:gridCol w:w="288"/>
        <w:gridCol w:w="841"/>
        <w:gridCol w:w="148"/>
        <w:gridCol w:w="109"/>
        <w:gridCol w:w="109"/>
        <w:gridCol w:w="109"/>
        <w:gridCol w:w="783"/>
        <w:gridCol w:w="783"/>
        <w:gridCol w:w="786"/>
        <w:gridCol w:w="109"/>
        <w:gridCol w:w="109"/>
        <w:gridCol w:w="109"/>
        <w:gridCol w:w="647"/>
        <w:gridCol w:w="1892"/>
        <w:gridCol w:w="336"/>
        <w:gridCol w:w="160"/>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(in millions) </w:t>
            </w:r>
            <w:r>
              <w:rPr>
                <w:rFonts w:ascii="Times New Roman;serif" w:hAnsi="Times New Roman;serif"/>
                <w:b/>
                <w:color w:val="000000"/>
                <w:sz w:val="13"/>
              </w:rPr>
              <w:t xml:space="preserve">(1) </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94"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48"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36"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4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(2)Includes shares withheld to pay taxes on the vesting of restricted stock and restricted stock units or to pay taxes on the exercise of stock options granted to employees.</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47445"/>
                <wp:effectExtent l="0" t="0" r="0" b="0"/>
                <wp:wrapNone/>
                <wp:docPr id="40" name="Frame4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1"/>
        <w:gridCol w:w="265"/>
        <w:gridCol w:w="266"/>
        <w:gridCol w:w="109"/>
        <w:gridCol w:w="109"/>
        <w:gridCol w:w="109"/>
        <w:gridCol w:w="2515"/>
        <w:gridCol w:w="2515"/>
        <w:gridCol w:w="2536"/>
        <w:gridCol w:w="109"/>
        <w:gridCol w:w="109"/>
        <w:gridCol w:w="109"/>
        <w:gridCol w:w="336"/>
        <w:gridCol w:w="336"/>
        <w:gridCol w:w="481"/>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a2026063010q.htm">
              <w:r>
                <w:rPr>
                  <w:rStyle w:val="InternetLink"/>
                  <w:rFonts w:ascii="Times New Roman;serif" w:hAnsi="Times New Roman;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b2026063010q.htm">
              <w:r>
                <w:rPr>
                  <w:rStyle w:val="InternetLink"/>
                  <w:rFonts w:ascii="Times New Roman;serif" w:hAnsi="Times New Roman;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026063010q.htm">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Principal Financial Officer Pursuant to 18 U.S.C. Section 1350, As Adopted Pursuant to Section 906 of the Sarbanes-Oxley Act of 2002 (furnished pursuant to Rule 13a – 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47445"/>
                <wp:effectExtent l="0" t="0" r="0" b="0"/>
                <wp:wrapNone/>
                <wp:docPr id="41" name="Frame4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left"/>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left"/>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669" w:type="dxa"/>
        <w:jc w:val="left"/>
        <w:tblInd w:w="0" w:type="dxa"/>
        <w:tblLayout w:type="fixed"/>
        <w:tblCellMar>
          <w:top w:w="28" w:type="dxa"/>
          <w:left w:w="28" w:type="dxa"/>
          <w:bottom w:w="28" w:type="dxa"/>
          <w:right w:w="28" w:type="dxa"/>
        </w:tblCellMar>
      </w:tblPr>
      <w:tblGrid>
        <w:gridCol w:w="443"/>
        <w:gridCol w:w="390"/>
        <w:gridCol w:w="396"/>
        <w:gridCol w:w="1299"/>
        <w:gridCol w:w="1299"/>
        <w:gridCol w:w="184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47445"/>
                <wp:effectExtent l="0" t="0" r="0" b="0"/>
                <wp:wrapNone/>
                <wp:docPr id="42" name="Frame4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5921" w:type="dxa"/>
                        <w:jc w:val="center"/>
                        <w:tblInd w:w="0" w:type="dxa"/>
                        <w:tblLayout w:type="fixed"/>
                        <w:tblCellMar>
                          <w:top w:w="28" w:type="dxa"/>
                          <w:left w:w="28" w:type="dxa"/>
                          <w:bottom w:w="28" w:type="dxa"/>
                          <w:right w:w="28" w:type="dxa"/>
                        </w:tblCellMar>
                      </w:tblPr>
                      <w:tblGrid>
                        <w:gridCol w:w="705"/>
                        <w:gridCol w:w="616"/>
                        <w:gridCol w:w="616"/>
                        <w:gridCol w:w="616"/>
                        <w:gridCol w:w="616"/>
                        <w:gridCol w:w="616"/>
                        <w:gridCol w:w="616"/>
                        <w:gridCol w:w="616"/>
                        <w:gridCol w:w="904"/>
                      </w:tblGrid>
                      <w:tr>
                        <w:trPr/>
                        <w:tc>
                          <w:tcPr>
                            <w:tcW w:w="7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JUNE 30, 2026</w:t>
                            </w:r>
                          </w:p>
                        </w:tc>
                      </w:tr>
                      <w:tr>
                        <w:trPr/>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C. Carstanjen,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2"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Marcia A. Dall,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5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Churchill Downs Incorporated (the “Company”) for the year ended June 30, 2026,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18099</Words>
  <Characters>97276</Characters>
  <CharactersWithSpaces>113722</CharactersWithSpaces>
  <Paragraphs>3141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